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1.xml" ContentType="application/vnd.openxmlformats-officedocument.themeOverride+xml"/>
  <Override PartName="/word/charts/chart13.xml" ContentType="application/vnd.openxmlformats-officedocument.drawingml.chart+xml"/>
  <Override PartName="/word/theme/themeOverride2.xml" ContentType="application/vnd.openxmlformats-officedocument.themeOverride+xml"/>
  <Override PartName="/word/charts/chart14.xml" ContentType="application/vnd.openxmlformats-officedocument.drawingml.chart+xml"/>
  <Override PartName="/word/theme/themeOverride3.xml" ContentType="application/vnd.openxmlformats-officedocument.themeOverride+xml"/>
  <Override PartName="/word/charts/chart1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67B82A" w14:textId="77777777" w:rsidR="00FB6818" w:rsidRPr="00204B3A" w:rsidRDefault="00FB6818" w:rsidP="00FB6818">
      <w:pPr>
        <w:jc w:val="center"/>
        <w:rPr>
          <w:rFonts w:ascii="Times New Roman" w:hAnsi="Times New Roman" w:cs="Times New Roman"/>
          <w:iCs/>
          <w:sz w:val="28"/>
          <w:szCs w:val="28"/>
        </w:rPr>
      </w:pPr>
      <w:bookmarkStart w:id="0" w:name="_GoBack"/>
      <w:bookmarkEnd w:id="0"/>
      <w:r w:rsidRPr="00204B3A">
        <w:rPr>
          <w:rFonts w:ascii="Times New Roman" w:hAnsi="Times New Roman" w:cs="Times New Roman"/>
          <w:iCs/>
          <w:sz w:val="28"/>
          <w:szCs w:val="28"/>
        </w:rPr>
        <w:t xml:space="preserve">Population Aging and Fiscal Sustainability in Thailand: </w:t>
      </w:r>
    </w:p>
    <w:p w14:paraId="5C10F71A" w14:textId="77777777" w:rsidR="00FB6818" w:rsidRPr="00444A98" w:rsidRDefault="00FB6818" w:rsidP="00FB6818">
      <w:pPr>
        <w:jc w:val="center"/>
        <w:rPr>
          <w:rFonts w:ascii="Times New Roman" w:hAnsi="Times New Roman" w:cs="Times New Roman"/>
          <w:iCs/>
          <w:sz w:val="24"/>
          <w:szCs w:val="24"/>
        </w:rPr>
      </w:pPr>
      <w:r w:rsidRPr="00204B3A">
        <w:rPr>
          <w:rFonts w:ascii="Times New Roman" w:hAnsi="Times New Roman" w:cs="Times New Roman"/>
          <w:iCs/>
          <w:sz w:val="28"/>
          <w:szCs w:val="28"/>
        </w:rPr>
        <w:t>The National Transfer Accounts (NTA) Approach</w:t>
      </w:r>
    </w:p>
    <w:p w14:paraId="11E4841A" w14:textId="77777777" w:rsidR="00FB6818" w:rsidRDefault="00FB6818" w:rsidP="00FB6818">
      <w:pPr>
        <w:jc w:val="center"/>
        <w:rPr>
          <w:rFonts w:ascii="Times New Roman" w:hAnsi="Times New Roman" w:cs="Times New Roman"/>
          <w:iCs/>
          <w:sz w:val="24"/>
          <w:szCs w:val="24"/>
        </w:rPr>
      </w:pPr>
    </w:p>
    <w:p w14:paraId="06ACA341" w14:textId="3B47C80C" w:rsidR="00FB6818" w:rsidRPr="00F54BD8" w:rsidRDefault="00FB6818" w:rsidP="00FB6818">
      <w:pPr>
        <w:jc w:val="center"/>
        <w:rPr>
          <w:rFonts w:ascii="Times New Roman" w:hAnsi="Times New Roman" w:cs="Times New Roman"/>
          <w:iCs/>
          <w:sz w:val="24"/>
          <w:szCs w:val="24"/>
          <w:vertAlign w:val="superscript"/>
        </w:rPr>
      </w:pPr>
      <w:r w:rsidRPr="00444A98">
        <w:rPr>
          <w:rFonts w:ascii="Times New Roman" w:hAnsi="Times New Roman" w:cs="Times New Roman"/>
          <w:iCs/>
          <w:sz w:val="24"/>
          <w:szCs w:val="24"/>
        </w:rPr>
        <w:t>Suphannada Lowhachai</w:t>
      </w:r>
      <w:r>
        <w:rPr>
          <w:rStyle w:val="FootnoteReference"/>
          <w:rFonts w:ascii="Times New Roman" w:hAnsi="Times New Roman" w:cs="Times New Roman"/>
          <w:iCs/>
          <w:sz w:val="24"/>
          <w:szCs w:val="24"/>
        </w:rPr>
        <w:footnoteReference w:id="1"/>
      </w:r>
      <w:r>
        <w:rPr>
          <w:rFonts w:ascii="Times New Roman" w:hAnsi="Times New Roman" w:cs="Times New Roman" w:hint="eastAsia"/>
          <w:iCs/>
          <w:sz w:val="24"/>
          <w:szCs w:val="24"/>
          <w:lang w:eastAsia="ko-KR"/>
        </w:rPr>
        <w:t xml:space="preserve"> , </w:t>
      </w:r>
      <w:r w:rsidRPr="00444A98">
        <w:rPr>
          <w:rFonts w:ascii="Times New Roman" w:hAnsi="Times New Roman" w:cs="Times New Roman"/>
          <w:iCs/>
          <w:sz w:val="24"/>
          <w:szCs w:val="24"/>
        </w:rPr>
        <w:t>Sang-Hyop Lee</w:t>
      </w:r>
      <w:r>
        <w:rPr>
          <w:rStyle w:val="FootnoteReference"/>
          <w:rFonts w:ascii="Times New Roman" w:hAnsi="Times New Roman" w:cs="Times New Roman"/>
          <w:iCs/>
          <w:sz w:val="24"/>
          <w:szCs w:val="24"/>
        </w:rPr>
        <w:footnoteReference w:id="2"/>
      </w:r>
      <w:r>
        <w:rPr>
          <w:rFonts w:ascii="Times New Roman" w:hAnsi="Times New Roman" w:cs="Times New Roman" w:hint="eastAsia"/>
          <w:iCs/>
          <w:sz w:val="24"/>
          <w:szCs w:val="24"/>
          <w:lang w:eastAsia="ko-KR"/>
        </w:rPr>
        <w:t xml:space="preserve"> , </w:t>
      </w:r>
      <w:r w:rsidRPr="00444A98">
        <w:rPr>
          <w:rFonts w:ascii="Times New Roman" w:hAnsi="Times New Roman" w:cs="Times New Roman"/>
          <w:iCs/>
          <w:sz w:val="24"/>
          <w:szCs w:val="24"/>
        </w:rPr>
        <w:t>Tanisa Tawichsri</w:t>
      </w:r>
      <w:r w:rsidR="00F54BD8">
        <w:rPr>
          <w:rFonts w:ascii="Times New Roman" w:hAnsi="Times New Roman" w:cs="Times New Roman"/>
          <w:iCs/>
          <w:sz w:val="24"/>
          <w:szCs w:val="24"/>
          <w:vertAlign w:val="superscript"/>
        </w:rPr>
        <w:t>1</w:t>
      </w:r>
    </w:p>
    <w:p w14:paraId="27FFA4DE" w14:textId="77777777" w:rsidR="000964B4" w:rsidRDefault="000964B4" w:rsidP="002A1FCC">
      <w:pPr>
        <w:spacing w:after="0" w:line="240" w:lineRule="auto"/>
        <w:jc w:val="right"/>
        <w:rPr>
          <w:rFonts w:ascii="Times New Roman" w:hAnsi="Times New Roman" w:cs="Times New Roman"/>
          <w:i/>
          <w:iCs/>
          <w:sz w:val="24"/>
          <w:szCs w:val="24"/>
        </w:rPr>
      </w:pPr>
    </w:p>
    <w:p w14:paraId="1564B197" w14:textId="77777777" w:rsidR="00E51C70" w:rsidRPr="006159C3" w:rsidRDefault="00EE79A0" w:rsidP="006159C3">
      <w:pPr>
        <w:pStyle w:val="ListParagraph"/>
        <w:numPr>
          <w:ilvl w:val="0"/>
          <w:numId w:val="8"/>
        </w:numPr>
        <w:spacing w:before="120" w:after="0" w:line="360" w:lineRule="auto"/>
        <w:rPr>
          <w:rFonts w:ascii="Times New Roman" w:hAnsi="Times New Roman" w:cs="Times New Roman"/>
          <w:b/>
          <w:bCs/>
          <w:sz w:val="24"/>
          <w:szCs w:val="24"/>
        </w:rPr>
      </w:pPr>
      <w:r>
        <w:rPr>
          <w:rFonts w:ascii="Times New Roman" w:hAnsi="Times New Roman" w:cs="Times New Roman"/>
          <w:b/>
          <w:bCs/>
          <w:sz w:val="24"/>
          <w:szCs w:val="24"/>
        </w:rPr>
        <w:t>I</w:t>
      </w:r>
      <w:r w:rsidR="00E51C70" w:rsidRPr="006159C3">
        <w:rPr>
          <w:rFonts w:ascii="Times New Roman" w:hAnsi="Times New Roman" w:cs="Times New Roman"/>
          <w:b/>
          <w:bCs/>
          <w:sz w:val="24"/>
          <w:szCs w:val="24"/>
        </w:rPr>
        <w:t>ntroduction</w:t>
      </w:r>
    </w:p>
    <w:p w14:paraId="52FDB8A2" w14:textId="77777777" w:rsidR="00925182" w:rsidRDefault="0046390E" w:rsidP="0046390E">
      <w:pPr>
        <w:spacing w:before="120" w:after="0" w:line="360" w:lineRule="auto"/>
        <w:jc w:val="thaiDistribute"/>
        <w:rPr>
          <w:rFonts w:ascii="Times New Roman" w:hAnsi="Times New Roman" w:cs="Times New Roman"/>
          <w:sz w:val="24"/>
          <w:szCs w:val="24"/>
          <w:lang w:val="en-GB" w:eastAsia="ko-KR"/>
        </w:rPr>
      </w:pPr>
      <w:r>
        <w:rPr>
          <w:rFonts w:ascii="Times New Roman" w:hAnsi="Times New Roman" w:cs="Times New Roman" w:hint="eastAsia"/>
          <w:sz w:val="24"/>
          <w:szCs w:val="24"/>
          <w:lang w:val="en-GB" w:eastAsia="ko-KR"/>
        </w:rPr>
        <w:t>Population aging</w:t>
      </w:r>
      <w:r w:rsidR="002F1E91">
        <w:rPr>
          <w:rFonts w:ascii="Times New Roman" w:hAnsi="Times New Roman" w:cs="Times New Roman"/>
          <w:sz w:val="24"/>
          <w:szCs w:val="24"/>
          <w:lang w:val="en-GB"/>
        </w:rPr>
        <w:t xml:space="preserve"> </w:t>
      </w:r>
      <w:r w:rsidR="00FB6818" w:rsidRPr="00FB6818">
        <w:rPr>
          <w:rFonts w:ascii="Times New Roman" w:hAnsi="Times New Roman" w:cs="Times New Roman"/>
          <w:sz w:val="24"/>
          <w:szCs w:val="24"/>
          <w:lang w:val="en-GB"/>
        </w:rPr>
        <w:t>ha</w:t>
      </w:r>
      <w:r>
        <w:rPr>
          <w:rFonts w:ascii="Times New Roman" w:hAnsi="Times New Roman" w:cs="Times New Roman" w:hint="eastAsia"/>
          <w:sz w:val="24"/>
          <w:szCs w:val="24"/>
          <w:lang w:val="en-GB" w:eastAsia="ko-KR"/>
        </w:rPr>
        <w:t>s</w:t>
      </w:r>
      <w:r w:rsidR="00FB6818" w:rsidRPr="00FB6818">
        <w:rPr>
          <w:rFonts w:ascii="Times New Roman" w:hAnsi="Times New Roman" w:cs="Times New Roman"/>
          <w:sz w:val="24"/>
          <w:szCs w:val="24"/>
          <w:lang w:val="en-GB"/>
        </w:rPr>
        <w:t xml:space="preserve"> important implications for the public </w:t>
      </w:r>
      <w:r w:rsidR="002F1E91">
        <w:rPr>
          <w:rFonts w:ascii="Times New Roman" w:hAnsi="Times New Roman" w:cs="Times New Roman"/>
          <w:sz w:val="24"/>
          <w:szCs w:val="24"/>
          <w:lang w:val="en-GB"/>
        </w:rPr>
        <w:t>finances in large part because t</w:t>
      </w:r>
      <w:r w:rsidR="002F1E91" w:rsidRPr="002F1E91">
        <w:rPr>
          <w:rFonts w:ascii="Times New Roman" w:hAnsi="Times New Roman" w:cs="Times New Roman"/>
          <w:sz w:val="24"/>
          <w:szCs w:val="24"/>
          <w:lang w:val="en-GB"/>
        </w:rPr>
        <w:t xml:space="preserve">he beneficiaries of public programs </w:t>
      </w:r>
      <w:r w:rsidR="000173A7">
        <w:rPr>
          <w:rFonts w:ascii="Times New Roman" w:hAnsi="Times New Roman" w:cs="Times New Roman"/>
          <w:sz w:val="24"/>
          <w:szCs w:val="24"/>
          <w:lang w:val="en-GB"/>
        </w:rPr>
        <w:t xml:space="preserve">in many countries </w:t>
      </w:r>
      <w:r w:rsidR="002F1E91" w:rsidRPr="002F1E91">
        <w:rPr>
          <w:rFonts w:ascii="Times New Roman" w:hAnsi="Times New Roman" w:cs="Times New Roman"/>
          <w:sz w:val="24"/>
          <w:szCs w:val="24"/>
          <w:lang w:val="en-GB"/>
        </w:rPr>
        <w:t>are primarily children and the elderly.</w:t>
      </w:r>
      <w:r w:rsidR="002F1E91">
        <w:rPr>
          <w:rFonts w:ascii="Times New Roman" w:hAnsi="Times New Roman" w:cs="Times New Roman"/>
          <w:sz w:val="24"/>
          <w:szCs w:val="24"/>
          <w:lang w:val="en-GB"/>
        </w:rPr>
        <w:t xml:space="preserve"> </w:t>
      </w:r>
      <w:r w:rsidR="008F1E72" w:rsidRPr="008F1E72">
        <w:rPr>
          <w:rFonts w:ascii="Times New Roman" w:hAnsi="Times New Roman" w:cs="Times New Roman"/>
          <w:sz w:val="24"/>
          <w:szCs w:val="24"/>
          <w:lang w:val="en-GB"/>
        </w:rPr>
        <w:t xml:space="preserve">As the share of the children declines </w:t>
      </w:r>
      <w:r>
        <w:rPr>
          <w:rFonts w:ascii="Times New Roman" w:hAnsi="Times New Roman" w:cs="Times New Roman" w:hint="eastAsia"/>
          <w:sz w:val="24"/>
          <w:szCs w:val="24"/>
          <w:lang w:val="en-GB" w:eastAsia="ko-KR"/>
        </w:rPr>
        <w:t xml:space="preserve">and the share of the elderly increases </w:t>
      </w:r>
      <w:r w:rsidR="008F1E72" w:rsidRPr="008F1E72">
        <w:rPr>
          <w:rFonts w:ascii="Times New Roman" w:hAnsi="Times New Roman" w:cs="Times New Roman"/>
          <w:sz w:val="24"/>
          <w:szCs w:val="24"/>
          <w:lang w:val="en-GB"/>
        </w:rPr>
        <w:t xml:space="preserve">during the demographic transition, public spending </w:t>
      </w:r>
      <w:r>
        <w:rPr>
          <w:rFonts w:ascii="Times New Roman" w:hAnsi="Times New Roman" w:cs="Times New Roman" w:hint="eastAsia"/>
          <w:sz w:val="24"/>
          <w:szCs w:val="24"/>
          <w:lang w:val="en-GB" w:eastAsia="ko-KR"/>
        </w:rPr>
        <w:t>on</w:t>
      </w:r>
      <w:r w:rsidR="008F1E72">
        <w:rPr>
          <w:rFonts w:ascii="Times New Roman" w:hAnsi="Times New Roman" w:cs="Times New Roman" w:hint="eastAsia"/>
          <w:sz w:val="24"/>
          <w:szCs w:val="24"/>
          <w:lang w:val="en-GB" w:eastAsia="ko-KR"/>
        </w:rPr>
        <w:t xml:space="preserve"> </w:t>
      </w:r>
      <w:r w:rsidR="008F1E72" w:rsidRPr="008F1E72">
        <w:rPr>
          <w:rFonts w:ascii="Times New Roman" w:hAnsi="Times New Roman" w:cs="Times New Roman"/>
          <w:sz w:val="24"/>
          <w:szCs w:val="24"/>
          <w:lang w:val="en-GB"/>
        </w:rPr>
        <w:t xml:space="preserve">education becomes lower </w:t>
      </w:r>
      <w:r>
        <w:rPr>
          <w:rFonts w:ascii="Times New Roman" w:hAnsi="Times New Roman" w:cs="Times New Roman" w:hint="eastAsia"/>
          <w:sz w:val="24"/>
          <w:szCs w:val="24"/>
          <w:lang w:val="en-GB" w:eastAsia="ko-KR"/>
        </w:rPr>
        <w:t xml:space="preserve">but </w:t>
      </w:r>
      <w:r w:rsidR="008F1E72" w:rsidRPr="008F1E72">
        <w:rPr>
          <w:rFonts w:ascii="Times New Roman" w:hAnsi="Times New Roman" w:cs="Times New Roman"/>
          <w:sz w:val="24"/>
          <w:szCs w:val="24"/>
          <w:lang w:val="en-GB"/>
        </w:rPr>
        <w:t>public spending on health and pensions will begin to rise</w:t>
      </w:r>
      <w:r>
        <w:rPr>
          <w:rFonts w:ascii="Times New Roman" w:hAnsi="Times New Roman" w:cs="Times New Roman" w:hint="eastAsia"/>
          <w:sz w:val="24"/>
          <w:szCs w:val="24"/>
          <w:lang w:val="en-GB" w:eastAsia="ko-KR"/>
        </w:rPr>
        <w:t xml:space="preserve"> relative to o</w:t>
      </w:r>
      <w:r w:rsidR="008F1E72" w:rsidRPr="008F1E72">
        <w:rPr>
          <w:rFonts w:ascii="Times New Roman" w:hAnsi="Times New Roman" w:cs="Times New Roman"/>
          <w:sz w:val="24"/>
          <w:szCs w:val="24"/>
          <w:lang w:val="en-GB"/>
        </w:rPr>
        <w:t>ther changes</w:t>
      </w:r>
      <w:r w:rsidR="000173A7">
        <w:rPr>
          <w:rFonts w:ascii="Times New Roman" w:hAnsi="Times New Roman" w:cs="Times New Roman"/>
          <w:sz w:val="24"/>
          <w:szCs w:val="24"/>
          <w:lang w:val="en-GB"/>
        </w:rPr>
        <w:t xml:space="preserve"> in</w:t>
      </w:r>
      <w:r w:rsidR="008F1E72" w:rsidRPr="008F1E72">
        <w:rPr>
          <w:rFonts w:ascii="Times New Roman" w:hAnsi="Times New Roman" w:cs="Times New Roman"/>
          <w:sz w:val="24"/>
          <w:szCs w:val="24"/>
          <w:lang w:val="en-GB"/>
        </w:rPr>
        <w:t xml:space="preserve"> public spending. </w:t>
      </w:r>
      <w:r w:rsidR="000173A7">
        <w:rPr>
          <w:rFonts w:ascii="Times New Roman" w:hAnsi="Times New Roman" w:cs="Times New Roman"/>
          <w:sz w:val="24"/>
          <w:szCs w:val="24"/>
          <w:lang w:val="en-GB"/>
        </w:rPr>
        <w:t xml:space="preserve">These problems are most acute in high income countries, while </w:t>
      </w:r>
      <w:r w:rsidR="000173A7">
        <w:rPr>
          <w:rFonts w:ascii="Times New Roman" w:hAnsi="Times New Roman" w:cs="Times New Roman"/>
          <w:sz w:val="24"/>
          <w:szCs w:val="24"/>
          <w:lang w:val="en-GB" w:eastAsia="ko-KR"/>
        </w:rPr>
        <w:t>l</w:t>
      </w:r>
      <w:r w:rsidR="002F1E91" w:rsidRPr="002F1E91">
        <w:rPr>
          <w:rFonts w:ascii="Times New Roman" w:hAnsi="Times New Roman" w:cs="Times New Roman"/>
          <w:sz w:val="24"/>
          <w:szCs w:val="24"/>
          <w:lang w:val="en-GB"/>
        </w:rPr>
        <w:t>ower income countries in general have low spending on public sector programs</w:t>
      </w:r>
      <w:r>
        <w:rPr>
          <w:rFonts w:ascii="Times New Roman" w:hAnsi="Times New Roman" w:cs="Times New Roman" w:hint="eastAsia"/>
          <w:sz w:val="24"/>
          <w:szCs w:val="24"/>
          <w:lang w:val="en-GB" w:eastAsia="ko-KR"/>
        </w:rPr>
        <w:t xml:space="preserve">. </w:t>
      </w:r>
      <w:r w:rsidR="00AC1B3A">
        <w:rPr>
          <w:rFonts w:ascii="Times New Roman" w:hAnsi="Times New Roman" w:cs="Times New Roman" w:hint="eastAsia"/>
          <w:sz w:val="24"/>
          <w:szCs w:val="24"/>
          <w:lang w:val="en-GB" w:eastAsia="ko-KR"/>
        </w:rPr>
        <w:t xml:space="preserve">But </w:t>
      </w:r>
      <w:r>
        <w:rPr>
          <w:rFonts w:ascii="Times New Roman" w:hAnsi="Times New Roman" w:cs="Times New Roman" w:hint="eastAsia"/>
          <w:sz w:val="24"/>
          <w:szCs w:val="24"/>
          <w:lang w:val="en-GB" w:eastAsia="ko-KR"/>
        </w:rPr>
        <w:t xml:space="preserve">as </w:t>
      </w:r>
      <w:r w:rsidR="008F1E72">
        <w:rPr>
          <w:rFonts w:ascii="Times New Roman" w:hAnsi="Times New Roman" w:cs="Times New Roman" w:hint="eastAsia"/>
          <w:sz w:val="24"/>
          <w:szCs w:val="24"/>
          <w:lang w:val="en-GB" w:eastAsia="ko-KR"/>
        </w:rPr>
        <w:t xml:space="preserve">countries develop, they develop new programs and hence </w:t>
      </w:r>
      <w:r w:rsidR="00AC1B3A">
        <w:rPr>
          <w:rFonts w:ascii="Times New Roman" w:hAnsi="Times New Roman" w:cs="Times New Roman" w:hint="eastAsia"/>
          <w:sz w:val="24"/>
          <w:szCs w:val="24"/>
          <w:lang w:val="en-GB" w:eastAsia="ko-KR"/>
        </w:rPr>
        <w:t>p</w:t>
      </w:r>
      <w:r w:rsidR="002F1E91" w:rsidRPr="002F1E91">
        <w:rPr>
          <w:rFonts w:ascii="Times New Roman" w:hAnsi="Times New Roman" w:cs="Times New Roman"/>
          <w:sz w:val="24"/>
          <w:szCs w:val="24"/>
          <w:lang w:val="en-GB"/>
        </w:rPr>
        <w:t xml:space="preserve">ublic spending on education, health care, and pensions all </w:t>
      </w:r>
      <w:r w:rsidR="000173A7">
        <w:rPr>
          <w:rFonts w:ascii="Times New Roman" w:hAnsi="Times New Roman" w:cs="Times New Roman"/>
          <w:sz w:val="24"/>
          <w:szCs w:val="24"/>
          <w:lang w:val="en-GB"/>
        </w:rPr>
        <w:t xml:space="preserve">tend to </w:t>
      </w:r>
      <w:r w:rsidR="002F1E91" w:rsidRPr="002F1E91">
        <w:rPr>
          <w:rFonts w:ascii="Times New Roman" w:hAnsi="Times New Roman" w:cs="Times New Roman"/>
          <w:sz w:val="24"/>
          <w:szCs w:val="24"/>
          <w:lang w:val="en-GB"/>
        </w:rPr>
        <w:t xml:space="preserve">increase. </w:t>
      </w:r>
      <w:r w:rsidR="008F1E72">
        <w:rPr>
          <w:rFonts w:ascii="Times New Roman" w:hAnsi="Times New Roman" w:cs="Times New Roman" w:hint="eastAsia"/>
          <w:sz w:val="24"/>
          <w:szCs w:val="24"/>
          <w:lang w:val="en-GB" w:eastAsia="ko-KR"/>
        </w:rPr>
        <w:t xml:space="preserve">Thus, </w:t>
      </w:r>
      <w:r w:rsidRPr="0046390E">
        <w:rPr>
          <w:rFonts w:ascii="Times New Roman" w:hAnsi="Times New Roman" w:cs="Times New Roman"/>
          <w:sz w:val="24"/>
          <w:szCs w:val="24"/>
          <w:lang w:val="en-GB" w:eastAsia="ko-KR"/>
        </w:rPr>
        <w:t xml:space="preserve">the key issue for </w:t>
      </w:r>
      <w:r>
        <w:rPr>
          <w:rFonts w:ascii="Times New Roman" w:hAnsi="Times New Roman" w:cs="Times New Roman" w:hint="eastAsia"/>
          <w:sz w:val="24"/>
          <w:szCs w:val="24"/>
          <w:lang w:val="en-GB" w:eastAsia="ko-KR"/>
        </w:rPr>
        <w:t xml:space="preserve">developing economies </w:t>
      </w:r>
      <w:r w:rsidRPr="0046390E">
        <w:rPr>
          <w:rFonts w:ascii="Times New Roman" w:hAnsi="Times New Roman" w:cs="Times New Roman"/>
          <w:sz w:val="24"/>
          <w:szCs w:val="24"/>
          <w:lang w:val="en-GB" w:eastAsia="ko-KR"/>
        </w:rPr>
        <w:t xml:space="preserve">is whether public programs can be expanded at the same time that their populations are aging. </w:t>
      </w:r>
      <w:r>
        <w:rPr>
          <w:rFonts w:ascii="Times New Roman" w:hAnsi="Times New Roman" w:cs="Times New Roman" w:hint="eastAsia"/>
          <w:sz w:val="24"/>
          <w:szCs w:val="24"/>
          <w:lang w:val="en-GB" w:eastAsia="ko-KR"/>
        </w:rPr>
        <w:t>F</w:t>
      </w:r>
      <w:r w:rsidR="002F1E91" w:rsidRPr="002F1E91">
        <w:rPr>
          <w:rFonts w:ascii="Times New Roman" w:hAnsi="Times New Roman" w:cs="Times New Roman"/>
          <w:sz w:val="24"/>
          <w:szCs w:val="24"/>
          <w:lang w:val="en-GB"/>
        </w:rPr>
        <w:t xml:space="preserve">or wealthier countries with well-developed public sectors the key issue </w:t>
      </w:r>
      <w:r>
        <w:rPr>
          <w:rFonts w:ascii="Times New Roman" w:hAnsi="Times New Roman" w:cs="Times New Roman" w:hint="eastAsia"/>
          <w:sz w:val="24"/>
          <w:szCs w:val="24"/>
          <w:lang w:val="en-GB" w:eastAsia="ko-KR"/>
        </w:rPr>
        <w:t xml:space="preserve">might be </w:t>
      </w:r>
      <w:r w:rsidR="002F1E91" w:rsidRPr="002F1E91">
        <w:rPr>
          <w:rFonts w:ascii="Times New Roman" w:hAnsi="Times New Roman" w:cs="Times New Roman"/>
          <w:sz w:val="24"/>
          <w:szCs w:val="24"/>
          <w:lang w:val="en-GB"/>
        </w:rPr>
        <w:t>whether those programs can be sustained as their population age</w:t>
      </w:r>
      <w:r w:rsidR="00CE7212">
        <w:rPr>
          <w:rFonts w:ascii="Times New Roman" w:hAnsi="Times New Roman" w:cs="Times New Roman"/>
          <w:sz w:val="24"/>
          <w:szCs w:val="24"/>
          <w:lang w:val="en-GB"/>
        </w:rPr>
        <w:t>s</w:t>
      </w:r>
      <w:r w:rsidR="002F1E91" w:rsidRPr="002F1E91">
        <w:rPr>
          <w:rFonts w:ascii="Times New Roman" w:hAnsi="Times New Roman" w:cs="Times New Roman"/>
          <w:sz w:val="24"/>
          <w:szCs w:val="24"/>
          <w:lang w:val="en-GB"/>
        </w:rPr>
        <w:t>.</w:t>
      </w:r>
    </w:p>
    <w:p w14:paraId="6AA10354" w14:textId="695984F9" w:rsidR="00270A75" w:rsidRPr="00696453" w:rsidRDefault="00925182" w:rsidP="00FB6818">
      <w:pPr>
        <w:spacing w:before="120" w:after="0" w:line="360" w:lineRule="auto"/>
        <w:ind w:firstLine="567"/>
        <w:jc w:val="thaiDistribute"/>
        <w:rPr>
          <w:rFonts w:ascii="Times New Roman" w:hAnsi="Times New Roman" w:cs="Times New Roman"/>
          <w:sz w:val="24"/>
          <w:szCs w:val="24"/>
          <w:lang w:val="en-GB"/>
        </w:rPr>
      </w:pPr>
      <w:r w:rsidRPr="00925182">
        <w:rPr>
          <w:rFonts w:ascii="Times New Roman" w:hAnsi="Times New Roman" w:cs="Times New Roman"/>
          <w:sz w:val="24"/>
          <w:szCs w:val="24"/>
          <w:lang w:val="en-GB"/>
        </w:rPr>
        <w:t xml:space="preserve">The purpose of the paper is to examine the linkages </w:t>
      </w:r>
      <w:r>
        <w:rPr>
          <w:rFonts w:ascii="Times New Roman" w:hAnsi="Times New Roman" w:cs="Times New Roman" w:hint="eastAsia"/>
          <w:sz w:val="24"/>
          <w:szCs w:val="24"/>
          <w:lang w:val="en-GB" w:eastAsia="ko-KR"/>
        </w:rPr>
        <w:t xml:space="preserve">between population and the public sector </w:t>
      </w:r>
      <w:r w:rsidR="004760D5">
        <w:rPr>
          <w:rFonts w:ascii="Times New Roman" w:hAnsi="Times New Roman" w:cs="Times New Roman"/>
          <w:sz w:val="24"/>
          <w:szCs w:val="24"/>
          <w:lang w:val="en-GB"/>
        </w:rPr>
        <w:t>using the</w:t>
      </w:r>
      <w:r w:rsidRPr="00925182">
        <w:rPr>
          <w:rFonts w:ascii="Times New Roman" w:hAnsi="Times New Roman" w:cs="Times New Roman"/>
          <w:sz w:val="24"/>
          <w:szCs w:val="24"/>
          <w:lang w:val="en-GB"/>
        </w:rPr>
        <w:t xml:space="preserve"> model </w:t>
      </w:r>
      <w:r w:rsidR="00CE7212">
        <w:rPr>
          <w:rFonts w:ascii="Times New Roman" w:hAnsi="Times New Roman" w:cs="Times New Roman"/>
          <w:sz w:val="24"/>
          <w:szCs w:val="24"/>
          <w:lang w:val="en-GB"/>
        </w:rPr>
        <w:t>developed by Mason, Lee et al (2015)</w:t>
      </w:r>
      <w:r w:rsidRPr="00925182">
        <w:rPr>
          <w:rFonts w:ascii="Times New Roman" w:hAnsi="Times New Roman" w:cs="Times New Roman"/>
          <w:sz w:val="24"/>
          <w:szCs w:val="24"/>
          <w:lang w:val="en-GB"/>
        </w:rPr>
        <w:t xml:space="preserve">. The </w:t>
      </w:r>
      <w:r>
        <w:rPr>
          <w:rFonts w:ascii="Times New Roman" w:hAnsi="Times New Roman" w:cs="Times New Roman" w:hint="eastAsia"/>
          <w:sz w:val="24"/>
          <w:szCs w:val="24"/>
          <w:lang w:val="en-GB" w:eastAsia="ko-KR"/>
        </w:rPr>
        <w:t xml:space="preserve">2012 </w:t>
      </w:r>
      <w:r w:rsidRPr="00925182">
        <w:rPr>
          <w:rFonts w:ascii="Times New Roman" w:hAnsi="Times New Roman" w:cs="Times New Roman"/>
          <w:sz w:val="24"/>
          <w:szCs w:val="24"/>
          <w:lang w:val="en-GB"/>
        </w:rPr>
        <w:t xml:space="preserve">Thai National Transfer Account (NTA) data set is </w:t>
      </w:r>
      <w:r>
        <w:rPr>
          <w:rFonts w:ascii="Times New Roman" w:hAnsi="Times New Roman" w:cs="Times New Roman" w:hint="eastAsia"/>
          <w:sz w:val="24"/>
          <w:szCs w:val="24"/>
          <w:lang w:val="en-GB" w:eastAsia="ko-KR"/>
        </w:rPr>
        <w:t xml:space="preserve">used to </w:t>
      </w:r>
      <w:r w:rsidR="000173A7">
        <w:rPr>
          <w:rFonts w:ascii="Times New Roman" w:hAnsi="Times New Roman" w:cs="Times New Roman"/>
          <w:sz w:val="24"/>
          <w:szCs w:val="24"/>
          <w:lang w:val="en-GB" w:eastAsia="ko-KR"/>
        </w:rPr>
        <w:t xml:space="preserve">quantify </w:t>
      </w:r>
      <w:r w:rsidRPr="00925182">
        <w:rPr>
          <w:rFonts w:ascii="Times New Roman" w:hAnsi="Times New Roman" w:cs="Times New Roman"/>
          <w:sz w:val="24"/>
          <w:szCs w:val="24"/>
          <w:lang w:val="en-GB"/>
        </w:rPr>
        <w:t>the linkage</w:t>
      </w:r>
      <w:r>
        <w:rPr>
          <w:rFonts w:ascii="Times New Roman" w:hAnsi="Times New Roman" w:cs="Times New Roman" w:hint="eastAsia"/>
          <w:sz w:val="24"/>
          <w:szCs w:val="24"/>
          <w:lang w:val="en-GB" w:eastAsia="ko-KR"/>
        </w:rPr>
        <w:t xml:space="preserve">s. </w:t>
      </w:r>
      <w:r w:rsidR="009773DC" w:rsidRPr="009773DC">
        <w:rPr>
          <w:rFonts w:ascii="Times New Roman" w:hAnsi="Times New Roman" w:cs="Times New Roman"/>
          <w:sz w:val="24"/>
          <w:szCs w:val="24"/>
          <w:lang w:val="en-GB"/>
        </w:rPr>
        <w:t>This paper emphasizes the experience of Thailand although it compares the results with other countries. Thailand is an interesting case study as the country has experienced very rapid changes in economy, population structure as well as public budget structure</w:t>
      </w:r>
      <w:r w:rsidR="009773DC">
        <w:rPr>
          <w:rFonts w:ascii="Times New Roman" w:hAnsi="Times New Roman" w:cs="Times New Roman" w:hint="eastAsia"/>
          <w:sz w:val="24"/>
          <w:szCs w:val="24"/>
          <w:lang w:val="en-GB" w:eastAsia="ko-KR"/>
        </w:rPr>
        <w:t xml:space="preserve"> during the </w:t>
      </w:r>
      <w:r w:rsidR="009773DC" w:rsidRPr="009773DC">
        <w:rPr>
          <w:rFonts w:ascii="Times New Roman" w:hAnsi="Times New Roman" w:cs="Times New Roman"/>
          <w:sz w:val="24"/>
          <w:szCs w:val="24"/>
          <w:lang w:val="en-GB"/>
        </w:rPr>
        <w:t>past three decades</w:t>
      </w:r>
      <w:r w:rsidR="009773DC">
        <w:rPr>
          <w:rFonts w:ascii="Times New Roman" w:hAnsi="Times New Roman" w:cs="Times New Roman" w:hint="eastAsia"/>
          <w:sz w:val="24"/>
          <w:szCs w:val="24"/>
          <w:lang w:val="en-GB" w:eastAsia="ko-KR"/>
        </w:rPr>
        <w:t xml:space="preserve">. </w:t>
      </w:r>
      <w:r w:rsidR="00270A75" w:rsidRPr="00270A75">
        <w:rPr>
          <w:rFonts w:ascii="Times New Roman" w:hAnsi="Times New Roman" w:cs="Times New Roman"/>
          <w:sz w:val="24"/>
          <w:szCs w:val="24"/>
          <w:lang w:val="en-GB"/>
        </w:rPr>
        <w:t xml:space="preserve">Between 1987 and 1996, the economy grew </w:t>
      </w:r>
      <w:r w:rsidR="000173A7">
        <w:rPr>
          <w:rFonts w:ascii="Times New Roman" w:hAnsi="Times New Roman" w:cs="Times New Roman"/>
          <w:sz w:val="24"/>
          <w:szCs w:val="24"/>
          <w:lang w:val="en-GB"/>
        </w:rPr>
        <w:t>so</w:t>
      </w:r>
      <w:r w:rsidR="00270A75" w:rsidRPr="00270A75">
        <w:rPr>
          <w:rFonts w:ascii="Times New Roman" w:hAnsi="Times New Roman" w:cs="Times New Roman"/>
          <w:sz w:val="24"/>
          <w:szCs w:val="24"/>
          <w:lang w:val="en-GB"/>
        </w:rPr>
        <w:t xml:space="preserve"> rapidly that the country was regarded as one of the Asian Economic Miracles (World Bank</w:t>
      </w:r>
      <w:r w:rsidR="006159C3">
        <w:rPr>
          <w:rFonts w:ascii="Times New Roman" w:hAnsi="Times New Roman" w:cs="Times New Roman" w:hint="eastAsia"/>
          <w:sz w:val="24"/>
          <w:szCs w:val="24"/>
          <w:lang w:val="en-GB" w:eastAsia="ko-KR"/>
        </w:rPr>
        <w:t>,</w:t>
      </w:r>
      <w:r w:rsidR="00270A75" w:rsidRPr="00270A75">
        <w:rPr>
          <w:rFonts w:ascii="Times New Roman" w:hAnsi="Times New Roman" w:cs="Times New Roman"/>
          <w:sz w:val="24"/>
          <w:szCs w:val="24"/>
          <w:lang w:val="en-GB"/>
        </w:rPr>
        <w:t xml:space="preserve"> 1993). </w:t>
      </w:r>
      <w:r w:rsidR="000173A7">
        <w:rPr>
          <w:rFonts w:ascii="Times New Roman" w:hAnsi="Times New Roman" w:cs="Times New Roman"/>
          <w:sz w:val="24"/>
          <w:szCs w:val="24"/>
          <w:lang w:val="en-GB"/>
        </w:rPr>
        <w:t>As a consequence</w:t>
      </w:r>
      <w:r w:rsidR="00270A75">
        <w:rPr>
          <w:rFonts w:ascii="Times New Roman" w:hAnsi="Times New Roman" w:cs="Times New Roman"/>
          <w:sz w:val="24"/>
          <w:szCs w:val="24"/>
          <w:lang w:val="en-GB"/>
        </w:rPr>
        <w:t>, Thailand has moved from low income country</w:t>
      </w:r>
      <w:r w:rsidR="000173A7">
        <w:rPr>
          <w:rFonts w:ascii="Times New Roman" w:hAnsi="Times New Roman" w:cs="Times New Roman"/>
          <w:sz w:val="24"/>
          <w:szCs w:val="24"/>
          <w:lang w:val="en-GB"/>
        </w:rPr>
        <w:t xml:space="preserve"> status</w:t>
      </w:r>
      <w:r w:rsidR="00270A75">
        <w:rPr>
          <w:rFonts w:ascii="Times New Roman" w:hAnsi="Times New Roman" w:cs="Times New Roman"/>
          <w:sz w:val="24"/>
          <w:szCs w:val="24"/>
          <w:lang w:val="en-GB"/>
        </w:rPr>
        <w:t xml:space="preserve"> to upper-middle income country</w:t>
      </w:r>
      <w:r w:rsidR="000173A7">
        <w:rPr>
          <w:rFonts w:ascii="Times New Roman" w:hAnsi="Times New Roman" w:cs="Times New Roman"/>
          <w:sz w:val="24"/>
          <w:szCs w:val="24"/>
          <w:lang w:val="en-GB"/>
        </w:rPr>
        <w:t xml:space="preserve"> status</w:t>
      </w:r>
      <w:r w:rsidR="00270A75">
        <w:rPr>
          <w:rFonts w:ascii="Times New Roman" w:hAnsi="Times New Roman" w:cs="Times New Roman"/>
          <w:sz w:val="24"/>
          <w:szCs w:val="24"/>
          <w:lang w:val="en-GB"/>
        </w:rPr>
        <w:t xml:space="preserve"> </w:t>
      </w:r>
      <w:r w:rsidR="00696453">
        <w:rPr>
          <w:rFonts w:ascii="Times New Roman" w:hAnsi="Times New Roman" w:cs="Times New Roman"/>
          <w:sz w:val="24"/>
          <w:szCs w:val="24"/>
          <w:lang w:val="en-GB"/>
        </w:rPr>
        <w:t>within</w:t>
      </w:r>
      <w:r w:rsidR="00FA7F1E">
        <w:rPr>
          <w:rFonts w:ascii="Times New Roman" w:hAnsi="Times New Roman" w:cs="Times New Roman"/>
          <w:sz w:val="24"/>
          <w:szCs w:val="24"/>
          <w:lang w:val="en-GB"/>
        </w:rPr>
        <w:t xml:space="preserve"> </w:t>
      </w:r>
      <w:r w:rsidR="00696453">
        <w:rPr>
          <w:rFonts w:ascii="Times New Roman" w:hAnsi="Times New Roman" w:cs="Times New Roman"/>
          <w:sz w:val="24"/>
          <w:szCs w:val="24"/>
          <w:lang w:val="en-GB"/>
        </w:rPr>
        <w:t>four</w:t>
      </w:r>
      <w:r w:rsidR="00270A75">
        <w:rPr>
          <w:rFonts w:ascii="Times New Roman" w:hAnsi="Times New Roman" w:cs="Times New Roman"/>
          <w:sz w:val="24"/>
          <w:szCs w:val="24"/>
          <w:lang w:val="en-GB"/>
        </w:rPr>
        <w:t xml:space="preserve"> decades. </w:t>
      </w:r>
      <w:r w:rsidR="00A1192B">
        <w:rPr>
          <w:rFonts w:ascii="Times New Roman" w:hAnsi="Times New Roman" w:cs="Times New Roman"/>
          <w:sz w:val="24"/>
          <w:szCs w:val="24"/>
          <w:lang w:val="en-GB"/>
        </w:rPr>
        <w:t xml:space="preserve">As the country </w:t>
      </w:r>
      <w:r w:rsidR="000173A7">
        <w:rPr>
          <w:rFonts w:ascii="Times New Roman" w:hAnsi="Times New Roman" w:cs="Times New Roman"/>
          <w:sz w:val="24"/>
          <w:szCs w:val="24"/>
          <w:lang w:val="en-GB"/>
        </w:rPr>
        <w:t xml:space="preserve">has </w:t>
      </w:r>
      <w:r w:rsidR="00A1192B">
        <w:rPr>
          <w:rFonts w:ascii="Times New Roman" w:hAnsi="Times New Roman" w:cs="Times New Roman"/>
          <w:sz w:val="24"/>
          <w:szCs w:val="24"/>
          <w:lang w:val="en-GB"/>
        </w:rPr>
        <w:t>beco</w:t>
      </w:r>
      <w:r w:rsidR="00B0041F">
        <w:rPr>
          <w:rFonts w:ascii="Times New Roman" w:hAnsi="Times New Roman" w:cs="Times New Roman"/>
          <w:sz w:val="24"/>
          <w:szCs w:val="24"/>
          <w:lang w:val="en-GB"/>
        </w:rPr>
        <w:t xml:space="preserve">me richer, </w:t>
      </w:r>
      <w:r w:rsidR="00B0041F">
        <w:rPr>
          <w:rFonts w:ascii="Times New Roman" w:hAnsi="Times New Roman" w:cs="Times New Roman"/>
          <w:sz w:val="24"/>
          <w:szCs w:val="24"/>
          <w:lang w:val="en-GB"/>
        </w:rPr>
        <w:lastRenderedPageBreak/>
        <w:t xml:space="preserve">government policy </w:t>
      </w:r>
      <w:r w:rsidR="00A052D6">
        <w:rPr>
          <w:rFonts w:ascii="Times New Roman" w:hAnsi="Times New Roman" w:cs="Times New Roman"/>
          <w:sz w:val="24"/>
          <w:szCs w:val="24"/>
          <w:lang w:val="en-GB"/>
        </w:rPr>
        <w:t xml:space="preserve">has been geared more toward social development. Since the implementation of the Eight Economic and Social Development Plan in 1997, the </w:t>
      </w:r>
      <w:r w:rsidR="00660CC5">
        <w:rPr>
          <w:rFonts w:ascii="Times New Roman" w:hAnsi="Times New Roman" w:cs="Times New Roman"/>
          <w:sz w:val="24"/>
          <w:szCs w:val="24"/>
          <w:lang w:val="en-GB"/>
        </w:rPr>
        <w:t>focus of development shifted from economic growth to human development</w:t>
      </w:r>
      <w:r w:rsidR="00FA7F1E">
        <w:rPr>
          <w:rFonts w:ascii="Times New Roman" w:hAnsi="Times New Roman" w:cs="Times New Roman"/>
          <w:sz w:val="24"/>
          <w:szCs w:val="24"/>
          <w:lang w:val="en-GB"/>
        </w:rPr>
        <w:t xml:space="preserve"> through social policy</w:t>
      </w:r>
      <w:r w:rsidR="00660CC5">
        <w:rPr>
          <w:rFonts w:ascii="Times New Roman" w:hAnsi="Times New Roman" w:cs="Times New Roman"/>
          <w:sz w:val="24"/>
          <w:szCs w:val="24"/>
          <w:lang w:val="en-GB"/>
        </w:rPr>
        <w:t xml:space="preserve">. </w:t>
      </w:r>
      <w:r w:rsidR="000173A7">
        <w:rPr>
          <w:rFonts w:ascii="Times New Roman" w:hAnsi="Times New Roman" w:cs="Times New Roman"/>
          <w:sz w:val="24"/>
          <w:szCs w:val="24"/>
          <w:lang w:val="en-GB"/>
        </w:rPr>
        <w:t>C</w:t>
      </w:r>
      <w:r w:rsidR="00B2132D">
        <w:rPr>
          <w:rFonts w:ascii="Times New Roman" w:hAnsi="Times New Roman" w:cs="Times New Roman"/>
          <w:sz w:val="24"/>
          <w:szCs w:val="24"/>
          <w:lang w:val="en-GB"/>
        </w:rPr>
        <w:t xml:space="preserve">ompulsory education was extended from 6 to 9 years in 1999 together with the government’s commitment to provide 12 years of education free of charge </w:t>
      </w:r>
      <w:r w:rsidR="00B2132D" w:rsidRPr="00B2132D">
        <w:rPr>
          <w:rFonts w:ascii="Times New Roman" w:hAnsi="Times New Roman" w:cs="Times New Roman"/>
          <w:sz w:val="24"/>
          <w:szCs w:val="24"/>
          <w:lang w:val="en-GB"/>
        </w:rPr>
        <w:t>(Kirtikara, 2001).</w:t>
      </w:r>
      <w:r w:rsidR="001137B3">
        <w:rPr>
          <w:rFonts w:ascii="Times New Roman" w:hAnsi="Times New Roman" w:cs="Times New Roman"/>
          <w:sz w:val="24"/>
          <w:szCs w:val="24"/>
          <w:lang w:val="en-GB"/>
        </w:rPr>
        <w:t xml:space="preserve"> </w:t>
      </w:r>
      <w:r w:rsidR="000173A7">
        <w:rPr>
          <w:rFonts w:ascii="Times New Roman" w:hAnsi="Times New Roman" w:cs="Times New Roman"/>
          <w:sz w:val="24"/>
          <w:szCs w:val="24"/>
          <w:lang w:val="en-GB"/>
        </w:rPr>
        <w:t>U</w:t>
      </w:r>
      <w:r w:rsidR="001137B3">
        <w:rPr>
          <w:rFonts w:ascii="Times New Roman" w:hAnsi="Times New Roman" w:cs="Times New Roman"/>
          <w:sz w:val="24"/>
          <w:szCs w:val="24"/>
          <w:lang w:val="en-GB"/>
        </w:rPr>
        <w:t xml:space="preserve">niversal health care coverage has also been implemented </w:t>
      </w:r>
      <w:r w:rsidR="000173A7">
        <w:rPr>
          <w:rFonts w:ascii="Times New Roman" w:hAnsi="Times New Roman" w:cs="Times New Roman"/>
          <w:sz w:val="24"/>
          <w:szCs w:val="24"/>
          <w:lang w:val="en-GB"/>
        </w:rPr>
        <w:t xml:space="preserve">beginning in </w:t>
      </w:r>
      <w:r w:rsidR="001137B3">
        <w:rPr>
          <w:rFonts w:ascii="Times New Roman" w:hAnsi="Times New Roman" w:cs="Times New Roman"/>
          <w:sz w:val="24"/>
          <w:szCs w:val="24"/>
          <w:lang w:val="en-GB"/>
        </w:rPr>
        <w:t xml:space="preserve">2001. </w:t>
      </w:r>
      <w:r w:rsidR="00927DC3">
        <w:rPr>
          <w:rFonts w:ascii="Times New Roman" w:hAnsi="Times New Roman" w:cs="Times New Roman"/>
          <w:sz w:val="24"/>
          <w:szCs w:val="24"/>
          <w:lang w:val="en-GB"/>
        </w:rPr>
        <w:t xml:space="preserve">In 2009, the </w:t>
      </w:r>
      <w:r w:rsidR="00E75F32">
        <w:rPr>
          <w:rFonts w:ascii="Times New Roman" w:hAnsi="Times New Roman" w:cs="Times New Roman"/>
          <w:sz w:val="24"/>
          <w:szCs w:val="24"/>
          <w:lang w:val="en-GB"/>
        </w:rPr>
        <w:t xml:space="preserve">mean-tested </w:t>
      </w:r>
      <w:r w:rsidR="00927DC3">
        <w:rPr>
          <w:rFonts w:ascii="Times New Roman" w:hAnsi="Times New Roman" w:cs="Times New Roman"/>
          <w:sz w:val="24"/>
          <w:szCs w:val="24"/>
          <w:lang w:val="en-GB"/>
        </w:rPr>
        <w:t>old-age allowance</w:t>
      </w:r>
      <w:r w:rsidR="00927DC3" w:rsidRPr="0013227B">
        <w:rPr>
          <w:rFonts w:ascii="Times New Roman" w:hAnsi="Times New Roman" w:cs="Times New Roman"/>
          <w:sz w:val="24"/>
          <w:szCs w:val="24"/>
          <w:lang w:val="en-GB"/>
        </w:rPr>
        <w:t xml:space="preserve"> was made </w:t>
      </w:r>
      <w:r w:rsidR="00766482" w:rsidRPr="0013227B">
        <w:rPr>
          <w:rFonts w:ascii="Times New Roman" w:hAnsi="Times New Roman" w:cs="Times New Roman"/>
          <w:sz w:val="24"/>
          <w:szCs w:val="24"/>
          <w:lang w:val="en-GB"/>
        </w:rPr>
        <w:t>universal to all elderly</w:t>
      </w:r>
      <w:r w:rsidR="00A1192B">
        <w:rPr>
          <w:rFonts w:ascii="Times New Roman" w:hAnsi="Times New Roman" w:cs="Times New Roman"/>
          <w:sz w:val="24"/>
          <w:szCs w:val="24"/>
          <w:lang w:val="en-GB"/>
        </w:rPr>
        <w:t xml:space="preserve"> Thais</w:t>
      </w:r>
      <w:r w:rsidR="00766482" w:rsidRPr="0013227B">
        <w:rPr>
          <w:rFonts w:ascii="Times New Roman" w:hAnsi="Times New Roman" w:cs="Times New Roman"/>
          <w:sz w:val="24"/>
          <w:szCs w:val="24"/>
          <w:lang w:val="en-GB"/>
        </w:rPr>
        <w:t xml:space="preserve"> </w:t>
      </w:r>
      <w:r w:rsidR="00FA7F1E">
        <w:rPr>
          <w:rFonts w:ascii="Times New Roman" w:hAnsi="Times New Roman" w:cs="Times New Roman"/>
          <w:sz w:val="24"/>
          <w:szCs w:val="24"/>
          <w:lang w:val="en-GB"/>
        </w:rPr>
        <w:t xml:space="preserve">who are </w:t>
      </w:r>
      <w:r w:rsidR="00766482" w:rsidRPr="0013227B">
        <w:rPr>
          <w:rFonts w:ascii="Times New Roman" w:hAnsi="Times New Roman" w:cs="Times New Roman"/>
          <w:sz w:val="24"/>
          <w:szCs w:val="24"/>
          <w:lang w:val="en-GB"/>
        </w:rPr>
        <w:t xml:space="preserve">not covered by other pension schemes. </w:t>
      </w:r>
      <w:r w:rsidR="00A87B54" w:rsidRPr="0013227B">
        <w:rPr>
          <w:rFonts w:ascii="Times New Roman" w:hAnsi="Times New Roman" w:cs="Times New Roman"/>
          <w:sz w:val="24"/>
          <w:szCs w:val="24"/>
          <w:lang w:val="en-GB"/>
        </w:rPr>
        <w:t xml:space="preserve">Implementation of these policies has changed the government budget structure </w:t>
      </w:r>
      <w:r w:rsidR="00FA7F1E">
        <w:rPr>
          <w:rFonts w:ascii="Times New Roman" w:hAnsi="Times New Roman" w:cs="Times New Roman"/>
          <w:sz w:val="24"/>
          <w:szCs w:val="24"/>
          <w:lang w:val="en-GB"/>
        </w:rPr>
        <w:t>substantially.</w:t>
      </w:r>
    </w:p>
    <w:p w14:paraId="3E099D9C" w14:textId="5934FF7D" w:rsidR="00E76F67" w:rsidRPr="00290911" w:rsidRDefault="00A87B54" w:rsidP="00BE2EE2">
      <w:pPr>
        <w:spacing w:before="120" w:after="0" w:line="360" w:lineRule="auto"/>
        <w:ind w:firstLine="567"/>
        <w:jc w:val="thaiDistribute"/>
        <w:rPr>
          <w:rFonts w:ascii="Times New Roman" w:hAnsi="Times New Roman" w:cs="Times New Roman"/>
          <w:sz w:val="24"/>
          <w:szCs w:val="24"/>
        </w:rPr>
      </w:pPr>
      <w:r>
        <w:rPr>
          <w:rFonts w:ascii="Times New Roman" w:hAnsi="Times New Roman" w:cs="Times New Roman"/>
          <w:sz w:val="24"/>
          <w:szCs w:val="24"/>
        </w:rPr>
        <w:t>In addition to</w:t>
      </w:r>
      <w:r w:rsidR="00270A75">
        <w:rPr>
          <w:rFonts w:ascii="Times New Roman" w:hAnsi="Times New Roman" w:cs="Times New Roman"/>
          <w:sz w:val="24"/>
          <w:szCs w:val="24"/>
        </w:rPr>
        <w:t xml:space="preserve"> rapid economic </w:t>
      </w:r>
      <w:r w:rsidR="00FA7F1E">
        <w:rPr>
          <w:rFonts w:ascii="Times New Roman" w:hAnsi="Times New Roman" w:cs="Times New Roman"/>
          <w:sz w:val="24"/>
          <w:szCs w:val="24"/>
        </w:rPr>
        <w:t xml:space="preserve">and social </w:t>
      </w:r>
      <w:r w:rsidR="00270A75">
        <w:rPr>
          <w:rFonts w:ascii="Times New Roman" w:hAnsi="Times New Roman" w:cs="Times New Roman"/>
          <w:sz w:val="24"/>
          <w:szCs w:val="24"/>
        </w:rPr>
        <w:t>development</w:t>
      </w:r>
      <w:r w:rsidR="00C10B37" w:rsidRPr="00270A75">
        <w:rPr>
          <w:rFonts w:ascii="Times New Roman" w:hAnsi="Times New Roman" w:cs="Times New Roman"/>
          <w:sz w:val="24"/>
          <w:szCs w:val="24"/>
        </w:rPr>
        <w:t>, Thailand has</w:t>
      </w:r>
      <w:r w:rsidR="001D56DF" w:rsidRPr="00270A75">
        <w:rPr>
          <w:rFonts w:ascii="Times New Roman" w:hAnsi="Times New Roman" w:cs="Times New Roman"/>
          <w:sz w:val="24"/>
          <w:szCs w:val="24"/>
        </w:rPr>
        <w:t xml:space="preserve"> also</w:t>
      </w:r>
      <w:r w:rsidR="00C10B37" w:rsidRPr="00270A75">
        <w:rPr>
          <w:rFonts w:ascii="Times New Roman" w:hAnsi="Times New Roman" w:cs="Times New Roman"/>
          <w:sz w:val="24"/>
          <w:szCs w:val="24"/>
        </w:rPr>
        <w:t xml:space="preserve"> experienced rapid demographic trans</w:t>
      </w:r>
      <w:r w:rsidR="00280278">
        <w:rPr>
          <w:rFonts w:ascii="Times New Roman" w:hAnsi="Times New Roman" w:cs="Times New Roman"/>
          <w:sz w:val="24"/>
          <w:szCs w:val="24"/>
        </w:rPr>
        <w:t>i</w:t>
      </w:r>
      <w:r w:rsidR="00C10B37" w:rsidRPr="00270A75">
        <w:rPr>
          <w:rFonts w:ascii="Times New Roman" w:hAnsi="Times New Roman" w:cs="Times New Roman"/>
          <w:sz w:val="24"/>
          <w:szCs w:val="24"/>
        </w:rPr>
        <w:t>tion over the</w:t>
      </w:r>
      <w:r>
        <w:rPr>
          <w:rFonts w:ascii="Times New Roman" w:hAnsi="Times New Roman" w:cs="Times New Roman"/>
          <w:sz w:val="24"/>
          <w:szCs w:val="24"/>
        </w:rPr>
        <w:t>se</w:t>
      </w:r>
      <w:r w:rsidR="00C10B37" w:rsidRPr="00270A75">
        <w:rPr>
          <w:rFonts w:ascii="Times New Roman" w:hAnsi="Times New Roman" w:cs="Times New Roman"/>
          <w:sz w:val="24"/>
          <w:szCs w:val="24"/>
        </w:rPr>
        <w:t xml:space="preserve"> past few decades. With successful contraceptive and family-planning measures, </w:t>
      </w:r>
      <w:r w:rsidR="000173A7">
        <w:rPr>
          <w:rFonts w:ascii="Times New Roman" w:hAnsi="Times New Roman" w:cs="Times New Roman"/>
          <w:sz w:val="24"/>
          <w:szCs w:val="24"/>
        </w:rPr>
        <w:t xml:space="preserve">the </w:t>
      </w:r>
      <w:r w:rsidR="00C10B37" w:rsidRPr="00270A75">
        <w:rPr>
          <w:rFonts w:ascii="Times New Roman" w:hAnsi="Times New Roman" w:cs="Times New Roman"/>
          <w:sz w:val="24"/>
          <w:szCs w:val="24"/>
        </w:rPr>
        <w:t xml:space="preserve">fertility rate in Thailand has </w:t>
      </w:r>
      <w:r w:rsidR="00A13720" w:rsidRPr="00270A75">
        <w:rPr>
          <w:rFonts w:ascii="Times New Roman" w:hAnsi="Times New Roman" w:cs="Times New Roman"/>
          <w:sz w:val="24"/>
          <w:szCs w:val="24"/>
        </w:rPr>
        <w:t xml:space="preserve">fallen </w:t>
      </w:r>
      <w:r w:rsidR="000173A7" w:rsidRPr="00270A75">
        <w:rPr>
          <w:rFonts w:ascii="Times New Roman" w:hAnsi="Times New Roman" w:cs="Times New Roman"/>
          <w:sz w:val="24"/>
          <w:szCs w:val="24"/>
        </w:rPr>
        <w:t xml:space="preserve">markedly </w:t>
      </w:r>
      <w:r w:rsidR="00A13720" w:rsidRPr="00270A75">
        <w:rPr>
          <w:rFonts w:ascii="Times New Roman" w:hAnsi="Times New Roman" w:cs="Times New Roman"/>
          <w:sz w:val="24"/>
          <w:szCs w:val="24"/>
        </w:rPr>
        <w:t xml:space="preserve">to </w:t>
      </w:r>
      <w:r w:rsidR="000173A7">
        <w:rPr>
          <w:rFonts w:ascii="Times New Roman" w:hAnsi="Times New Roman" w:cs="Times New Roman"/>
          <w:sz w:val="24"/>
          <w:szCs w:val="24"/>
        </w:rPr>
        <w:t>a</w:t>
      </w:r>
      <w:r w:rsidR="00A13720" w:rsidRPr="00270A75">
        <w:rPr>
          <w:rFonts w:ascii="Times New Roman" w:hAnsi="Times New Roman" w:cs="Times New Roman"/>
          <w:sz w:val="24"/>
          <w:szCs w:val="24"/>
        </w:rPr>
        <w:t xml:space="preserve"> level now below </w:t>
      </w:r>
      <w:r w:rsidR="00A1192B">
        <w:rPr>
          <w:rFonts w:ascii="Times New Roman" w:hAnsi="Times New Roman" w:cs="Times New Roman"/>
          <w:sz w:val="24"/>
          <w:szCs w:val="24"/>
        </w:rPr>
        <w:t xml:space="preserve">the </w:t>
      </w:r>
      <w:r w:rsidR="00A13720" w:rsidRPr="00270A75">
        <w:rPr>
          <w:rFonts w:ascii="Times New Roman" w:hAnsi="Times New Roman" w:cs="Times New Roman"/>
          <w:sz w:val="24"/>
          <w:szCs w:val="24"/>
        </w:rPr>
        <w:t>replacement rat</w:t>
      </w:r>
      <w:r w:rsidR="00C372F3" w:rsidRPr="00270A75">
        <w:rPr>
          <w:rFonts w:ascii="Times New Roman" w:hAnsi="Times New Roman" w:cs="Times New Roman"/>
          <w:sz w:val="24"/>
          <w:szCs w:val="24"/>
        </w:rPr>
        <w:t xml:space="preserve">e. </w:t>
      </w:r>
      <w:r w:rsidR="000173A7">
        <w:rPr>
          <w:rFonts w:ascii="Times New Roman" w:hAnsi="Times New Roman" w:cs="Times New Roman"/>
          <w:sz w:val="24"/>
          <w:szCs w:val="24"/>
        </w:rPr>
        <w:t xml:space="preserve">Another important demographic trend is that </w:t>
      </w:r>
      <w:r w:rsidR="00C372F3" w:rsidRPr="00270A75">
        <w:rPr>
          <w:rFonts w:ascii="Times New Roman" w:hAnsi="Times New Roman" w:cs="Times New Roman"/>
          <w:sz w:val="24"/>
          <w:szCs w:val="24"/>
        </w:rPr>
        <w:t>cohorts</w:t>
      </w:r>
      <w:r w:rsidR="000173A7">
        <w:rPr>
          <w:rFonts w:ascii="Times New Roman" w:hAnsi="Times New Roman" w:cs="Times New Roman"/>
          <w:sz w:val="24"/>
          <w:szCs w:val="24"/>
        </w:rPr>
        <w:t xml:space="preserve"> </w:t>
      </w:r>
      <w:r w:rsidR="00C372F3" w:rsidRPr="00270A75">
        <w:rPr>
          <w:rFonts w:ascii="Times New Roman" w:hAnsi="Times New Roman" w:cs="Times New Roman"/>
          <w:sz w:val="24"/>
          <w:szCs w:val="24"/>
        </w:rPr>
        <w:t xml:space="preserve">born during the baby boom period </w:t>
      </w:r>
      <w:r w:rsidR="000173A7">
        <w:rPr>
          <w:rFonts w:ascii="Times New Roman" w:hAnsi="Times New Roman" w:cs="Times New Roman"/>
          <w:sz w:val="24"/>
          <w:szCs w:val="24"/>
        </w:rPr>
        <w:t xml:space="preserve">are reaching entering </w:t>
      </w:r>
      <w:r w:rsidR="00C372F3" w:rsidRPr="00270A75">
        <w:rPr>
          <w:rFonts w:ascii="Times New Roman" w:hAnsi="Times New Roman" w:cs="Times New Roman"/>
          <w:sz w:val="24"/>
          <w:szCs w:val="24"/>
        </w:rPr>
        <w:t>have increasingly entered the retirement age</w:t>
      </w:r>
      <w:r w:rsidR="00A13720" w:rsidRPr="00270A75">
        <w:rPr>
          <w:rFonts w:ascii="Times New Roman" w:hAnsi="Times New Roman" w:cs="Times New Roman"/>
          <w:sz w:val="24"/>
          <w:szCs w:val="24"/>
        </w:rPr>
        <w:t>.</w:t>
      </w:r>
      <w:r w:rsidR="00C372F3" w:rsidRPr="00270A75">
        <w:rPr>
          <w:rFonts w:ascii="Times New Roman" w:hAnsi="Times New Roman" w:cs="Times New Roman"/>
          <w:sz w:val="24"/>
          <w:szCs w:val="24"/>
        </w:rPr>
        <w:t xml:space="preserve"> This</w:t>
      </w:r>
      <w:r w:rsidR="00280278">
        <w:rPr>
          <w:rFonts w:ascii="Times New Roman" w:hAnsi="Times New Roman" w:cs="Times New Roman"/>
          <w:sz w:val="24"/>
          <w:szCs w:val="24"/>
        </w:rPr>
        <w:t xml:space="preserve"> means </w:t>
      </w:r>
      <w:r w:rsidR="00C40006">
        <w:rPr>
          <w:rFonts w:ascii="Times New Roman" w:hAnsi="Times New Roman" w:cs="Times New Roman"/>
          <w:sz w:val="24"/>
          <w:szCs w:val="24"/>
        </w:rPr>
        <w:t>a smaller</w:t>
      </w:r>
      <w:r w:rsidR="00280278">
        <w:rPr>
          <w:rFonts w:ascii="Times New Roman" w:hAnsi="Times New Roman" w:cs="Times New Roman"/>
          <w:sz w:val="24"/>
          <w:szCs w:val="24"/>
        </w:rPr>
        <w:t xml:space="preserve"> share of working-age population to take care of the increasing share of elderly </w:t>
      </w:r>
      <w:r w:rsidR="00C372F3" w:rsidRPr="00270A75">
        <w:rPr>
          <w:rFonts w:ascii="Times New Roman" w:hAnsi="Times New Roman" w:cs="Times New Roman"/>
          <w:sz w:val="24"/>
          <w:szCs w:val="24"/>
        </w:rPr>
        <w:t xml:space="preserve">in the </w:t>
      </w:r>
      <w:r w:rsidR="00C372F3" w:rsidRPr="00E76F67">
        <w:rPr>
          <w:rFonts w:ascii="Times New Roman" w:hAnsi="Times New Roman" w:cs="Times New Roman"/>
          <w:sz w:val="24"/>
          <w:szCs w:val="24"/>
        </w:rPr>
        <w:t>future</w:t>
      </w:r>
      <w:r w:rsidR="00280278">
        <w:rPr>
          <w:rFonts w:ascii="Times New Roman" w:hAnsi="Times New Roman" w:cs="Times New Roman"/>
          <w:sz w:val="24"/>
          <w:szCs w:val="24"/>
        </w:rPr>
        <w:t>.</w:t>
      </w:r>
      <w:r w:rsidR="00AC43F1">
        <w:rPr>
          <w:rFonts w:ascii="Times New Roman" w:hAnsi="Times New Roman" w:cs="Times New Roman"/>
          <w:sz w:val="24"/>
          <w:szCs w:val="24"/>
        </w:rPr>
        <w:t xml:space="preserve"> </w:t>
      </w:r>
      <w:r w:rsidR="00C40006">
        <w:rPr>
          <w:rFonts w:ascii="Times New Roman" w:hAnsi="Times New Roman" w:cs="Times New Roman"/>
          <w:sz w:val="24"/>
          <w:szCs w:val="24"/>
        </w:rPr>
        <w:t>The demographic trends</w:t>
      </w:r>
      <w:r w:rsidR="00AC43F1">
        <w:rPr>
          <w:rFonts w:ascii="Times New Roman" w:hAnsi="Times New Roman" w:cs="Times New Roman"/>
          <w:sz w:val="24"/>
          <w:szCs w:val="24"/>
        </w:rPr>
        <w:t xml:space="preserve"> will certainly affect </w:t>
      </w:r>
      <w:r w:rsidR="00C40006">
        <w:rPr>
          <w:rFonts w:ascii="Times New Roman" w:hAnsi="Times New Roman" w:cs="Times New Roman"/>
          <w:sz w:val="24"/>
          <w:szCs w:val="24"/>
        </w:rPr>
        <w:t xml:space="preserve">the </w:t>
      </w:r>
      <w:r w:rsidR="00AC43F1">
        <w:rPr>
          <w:rFonts w:ascii="Times New Roman" w:hAnsi="Times New Roman" w:cs="Times New Roman"/>
          <w:sz w:val="24"/>
          <w:szCs w:val="24"/>
        </w:rPr>
        <w:t>economic and social context of the country</w:t>
      </w:r>
      <w:r w:rsidR="00C40006">
        <w:rPr>
          <w:rFonts w:ascii="Times New Roman" w:hAnsi="Times New Roman" w:cs="Times New Roman"/>
          <w:sz w:val="24"/>
          <w:szCs w:val="24"/>
        </w:rPr>
        <w:t xml:space="preserve"> for decades to come</w:t>
      </w:r>
      <w:r w:rsidR="00AC43F1">
        <w:rPr>
          <w:rFonts w:ascii="Times New Roman" w:hAnsi="Times New Roman" w:cs="Times New Roman"/>
          <w:sz w:val="24"/>
          <w:szCs w:val="24"/>
        </w:rPr>
        <w:t>.</w:t>
      </w:r>
    </w:p>
    <w:p w14:paraId="11F03953" w14:textId="32A4F72B" w:rsidR="00E108DE" w:rsidRDefault="00B065AF" w:rsidP="004F495D">
      <w:pPr>
        <w:spacing w:before="120" w:after="0" w:line="360" w:lineRule="auto"/>
        <w:ind w:firstLine="567"/>
        <w:jc w:val="thaiDistribute"/>
        <w:rPr>
          <w:rFonts w:ascii="Times New Roman" w:hAnsi="Times New Roman" w:cs="Times New Roman"/>
          <w:sz w:val="24"/>
          <w:szCs w:val="24"/>
        </w:rPr>
      </w:pPr>
      <w:r w:rsidRPr="00475C58">
        <w:rPr>
          <w:rFonts w:ascii="Times New Roman" w:hAnsi="Times New Roman" w:cs="Times New Roman"/>
          <w:sz w:val="24"/>
          <w:szCs w:val="24"/>
        </w:rPr>
        <w:t xml:space="preserve">The outline of this paper is as follows: </w:t>
      </w:r>
      <w:r w:rsidR="000964B4">
        <w:rPr>
          <w:rFonts w:ascii="Times New Roman" w:hAnsi="Times New Roman" w:cs="Times New Roman"/>
          <w:sz w:val="24"/>
          <w:szCs w:val="24"/>
        </w:rPr>
        <w:t>S</w:t>
      </w:r>
      <w:r w:rsidRPr="00475C58">
        <w:rPr>
          <w:rFonts w:ascii="Times New Roman" w:hAnsi="Times New Roman" w:cs="Times New Roman"/>
          <w:sz w:val="24"/>
          <w:szCs w:val="24"/>
        </w:rPr>
        <w:t xml:space="preserve">ection </w:t>
      </w:r>
      <w:r w:rsidR="006159C3">
        <w:rPr>
          <w:rFonts w:ascii="Times New Roman" w:hAnsi="Times New Roman" w:cs="Times New Roman" w:hint="eastAsia"/>
          <w:sz w:val="24"/>
          <w:szCs w:val="24"/>
          <w:lang w:eastAsia="ko-KR"/>
        </w:rPr>
        <w:t>2</w:t>
      </w:r>
      <w:r w:rsidRPr="00475C58">
        <w:rPr>
          <w:rFonts w:ascii="Times New Roman" w:hAnsi="Times New Roman" w:cs="Times New Roman"/>
          <w:sz w:val="24"/>
          <w:szCs w:val="24"/>
        </w:rPr>
        <w:t xml:space="preserve"> </w:t>
      </w:r>
      <w:r w:rsidR="000964B4">
        <w:rPr>
          <w:rFonts w:ascii="Times New Roman" w:hAnsi="Times New Roman" w:cs="Times New Roman"/>
          <w:sz w:val="24"/>
          <w:szCs w:val="24"/>
        </w:rPr>
        <w:t xml:space="preserve">provides an overview of </w:t>
      </w:r>
      <w:r w:rsidRPr="00475C58">
        <w:rPr>
          <w:rFonts w:ascii="Times New Roman" w:hAnsi="Times New Roman" w:cs="Times New Roman"/>
          <w:sz w:val="24"/>
          <w:szCs w:val="24"/>
        </w:rPr>
        <w:t xml:space="preserve">the </w:t>
      </w:r>
      <w:r w:rsidR="006159C3">
        <w:rPr>
          <w:rFonts w:ascii="Times New Roman" w:hAnsi="Times New Roman" w:cs="Times New Roman" w:hint="eastAsia"/>
          <w:sz w:val="24"/>
          <w:szCs w:val="24"/>
          <w:lang w:eastAsia="ko-KR"/>
        </w:rPr>
        <w:t>p</w:t>
      </w:r>
      <w:r w:rsidR="008C5A42" w:rsidRPr="00475C58">
        <w:rPr>
          <w:rFonts w:ascii="Times New Roman" w:hAnsi="Times New Roman" w:cs="Times New Roman"/>
          <w:sz w:val="24"/>
          <w:szCs w:val="24"/>
        </w:rPr>
        <w:t xml:space="preserve">opulation </w:t>
      </w:r>
      <w:r w:rsidR="006159C3">
        <w:rPr>
          <w:rFonts w:ascii="Times New Roman" w:hAnsi="Times New Roman" w:cs="Times New Roman" w:hint="eastAsia"/>
          <w:sz w:val="24"/>
          <w:szCs w:val="24"/>
          <w:lang w:eastAsia="ko-KR"/>
        </w:rPr>
        <w:t>structure and</w:t>
      </w:r>
      <w:r w:rsidR="00290911" w:rsidRPr="00475C58">
        <w:rPr>
          <w:rFonts w:ascii="Times New Roman" w:hAnsi="Times New Roman" w:cs="Times New Roman"/>
          <w:sz w:val="24"/>
          <w:szCs w:val="24"/>
        </w:rPr>
        <w:t xml:space="preserve"> government budgeting system</w:t>
      </w:r>
      <w:r w:rsidR="006159C3">
        <w:rPr>
          <w:rFonts w:ascii="Times New Roman" w:hAnsi="Times New Roman" w:cs="Times New Roman" w:hint="eastAsia"/>
          <w:sz w:val="24"/>
          <w:szCs w:val="24"/>
          <w:lang w:eastAsia="ko-KR"/>
        </w:rPr>
        <w:t xml:space="preserve"> in Thailand</w:t>
      </w:r>
      <w:r w:rsidR="00FA7F1E">
        <w:rPr>
          <w:rFonts w:ascii="Times New Roman" w:hAnsi="Times New Roman" w:cs="Times New Roman"/>
          <w:sz w:val="24"/>
          <w:szCs w:val="24"/>
        </w:rPr>
        <w:t xml:space="preserve">. The section </w:t>
      </w:r>
      <w:r w:rsidR="006159C3">
        <w:rPr>
          <w:rFonts w:ascii="Times New Roman" w:hAnsi="Times New Roman" w:cs="Times New Roman" w:hint="eastAsia"/>
          <w:sz w:val="24"/>
          <w:szCs w:val="24"/>
          <w:lang w:eastAsia="ko-KR"/>
        </w:rPr>
        <w:t>also des</w:t>
      </w:r>
      <w:r w:rsidR="00FA7F1E">
        <w:rPr>
          <w:rFonts w:ascii="Times New Roman" w:hAnsi="Times New Roman" w:cs="Times New Roman"/>
          <w:sz w:val="24"/>
          <w:szCs w:val="24"/>
        </w:rPr>
        <w:t xml:space="preserve">cribes how recent public </w:t>
      </w:r>
      <w:r w:rsidR="00290911" w:rsidRPr="00475C58">
        <w:rPr>
          <w:rFonts w:ascii="Times New Roman" w:hAnsi="Times New Roman" w:cs="Times New Roman"/>
          <w:sz w:val="24"/>
          <w:szCs w:val="24"/>
        </w:rPr>
        <w:t xml:space="preserve">policy shifts </w:t>
      </w:r>
      <w:r w:rsidR="00FA7F1E">
        <w:rPr>
          <w:rFonts w:ascii="Times New Roman" w:hAnsi="Times New Roman" w:cs="Times New Roman"/>
          <w:sz w:val="24"/>
          <w:szCs w:val="24"/>
        </w:rPr>
        <w:t xml:space="preserve">has </w:t>
      </w:r>
      <w:r w:rsidR="00290911" w:rsidRPr="00475C58">
        <w:rPr>
          <w:rFonts w:ascii="Times New Roman" w:hAnsi="Times New Roman" w:cs="Times New Roman"/>
          <w:sz w:val="24"/>
          <w:szCs w:val="24"/>
        </w:rPr>
        <w:t>affected the government</w:t>
      </w:r>
      <w:r w:rsidR="00C40006">
        <w:rPr>
          <w:rFonts w:ascii="Times New Roman" w:hAnsi="Times New Roman" w:cs="Times New Roman"/>
          <w:sz w:val="24"/>
          <w:szCs w:val="24"/>
        </w:rPr>
        <w:t>’s</w:t>
      </w:r>
      <w:r w:rsidR="00290911" w:rsidRPr="00475C58">
        <w:rPr>
          <w:rFonts w:ascii="Times New Roman" w:hAnsi="Times New Roman" w:cs="Times New Roman"/>
          <w:sz w:val="24"/>
          <w:szCs w:val="24"/>
        </w:rPr>
        <w:t xml:space="preserve"> budget structure. </w:t>
      </w:r>
      <w:r w:rsidR="000964B4">
        <w:rPr>
          <w:rFonts w:ascii="Times New Roman" w:hAnsi="Times New Roman" w:cs="Times New Roman"/>
          <w:sz w:val="24"/>
          <w:szCs w:val="24"/>
        </w:rPr>
        <w:t xml:space="preserve">Section </w:t>
      </w:r>
      <w:r w:rsidR="006159C3">
        <w:rPr>
          <w:rFonts w:ascii="Times New Roman" w:hAnsi="Times New Roman" w:cs="Times New Roman" w:hint="eastAsia"/>
          <w:sz w:val="24"/>
          <w:szCs w:val="24"/>
          <w:lang w:eastAsia="ko-KR"/>
        </w:rPr>
        <w:t>3</w:t>
      </w:r>
      <w:r w:rsidR="006159C3">
        <w:rPr>
          <w:rFonts w:ascii="Times New Roman" w:hAnsi="Times New Roman" w:cs="Times New Roman"/>
          <w:sz w:val="24"/>
          <w:szCs w:val="24"/>
        </w:rPr>
        <w:t xml:space="preserve"> </w:t>
      </w:r>
      <w:r w:rsidR="00C40006">
        <w:rPr>
          <w:rFonts w:ascii="Times New Roman" w:hAnsi="Times New Roman" w:cs="Times New Roman"/>
          <w:sz w:val="24"/>
          <w:szCs w:val="24"/>
        </w:rPr>
        <w:t xml:space="preserve">presents National Transfer Account </w:t>
      </w:r>
      <w:r w:rsidR="003B2FF6">
        <w:rPr>
          <w:rFonts w:ascii="Times New Roman" w:hAnsi="Times New Roman" w:cs="Times New Roman"/>
          <w:sz w:val="24"/>
          <w:szCs w:val="24"/>
        </w:rPr>
        <w:t xml:space="preserve">data </w:t>
      </w:r>
      <w:r w:rsidR="00C40006">
        <w:rPr>
          <w:rFonts w:ascii="Times New Roman" w:hAnsi="Times New Roman" w:cs="Times New Roman"/>
          <w:sz w:val="24"/>
          <w:szCs w:val="24"/>
        </w:rPr>
        <w:t>used in the analysis of public sector effects of demographic change</w:t>
      </w:r>
      <w:r w:rsidR="006159C3">
        <w:rPr>
          <w:rFonts w:ascii="Times New Roman" w:hAnsi="Times New Roman" w:cs="Times New Roman" w:hint="eastAsia"/>
          <w:sz w:val="24"/>
          <w:szCs w:val="24"/>
          <w:lang w:eastAsia="ko-KR"/>
        </w:rPr>
        <w:t xml:space="preserve">. </w:t>
      </w:r>
      <w:r w:rsidR="00061B63">
        <w:rPr>
          <w:rFonts w:ascii="Times New Roman" w:hAnsi="Times New Roman" w:cs="Times New Roman" w:hint="eastAsia"/>
          <w:sz w:val="24"/>
          <w:szCs w:val="24"/>
          <w:lang w:eastAsia="ko-KR"/>
        </w:rPr>
        <w:t xml:space="preserve">Section 4 </w:t>
      </w:r>
      <w:r w:rsidR="009F19AB">
        <w:rPr>
          <w:rFonts w:ascii="Times New Roman" w:hAnsi="Times New Roman" w:cs="Times New Roman" w:hint="eastAsia"/>
          <w:sz w:val="24"/>
          <w:szCs w:val="24"/>
          <w:lang w:eastAsia="ko-KR"/>
        </w:rPr>
        <w:t xml:space="preserve">summarizes the </w:t>
      </w:r>
      <w:r w:rsidR="006159C3">
        <w:rPr>
          <w:rFonts w:ascii="Times New Roman" w:hAnsi="Times New Roman" w:cs="Times New Roman" w:hint="eastAsia"/>
          <w:sz w:val="24"/>
          <w:szCs w:val="24"/>
          <w:lang w:eastAsia="ko-KR"/>
        </w:rPr>
        <w:t xml:space="preserve">model </w:t>
      </w:r>
      <w:r w:rsidR="006159C3">
        <w:rPr>
          <w:rFonts w:ascii="Times New Roman" w:hAnsi="Times New Roman" w:cs="Times New Roman"/>
          <w:sz w:val="24"/>
          <w:szCs w:val="24"/>
          <w:lang w:eastAsia="ko-KR"/>
        </w:rPr>
        <w:t>briefly</w:t>
      </w:r>
      <w:r w:rsidR="00061B63">
        <w:rPr>
          <w:rFonts w:ascii="Times New Roman" w:hAnsi="Times New Roman" w:cs="Times New Roman" w:hint="eastAsia"/>
          <w:sz w:val="24"/>
          <w:szCs w:val="24"/>
          <w:lang w:eastAsia="ko-KR"/>
        </w:rPr>
        <w:t xml:space="preserve"> and </w:t>
      </w:r>
      <w:r w:rsidR="000964B4">
        <w:rPr>
          <w:rFonts w:ascii="Times New Roman" w:hAnsi="Times New Roman" w:cs="Times New Roman"/>
          <w:sz w:val="24"/>
          <w:szCs w:val="24"/>
        </w:rPr>
        <w:t xml:space="preserve">presents the results. The </w:t>
      </w:r>
      <w:r w:rsidR="00C40006">
        <w:rPr>
          <w:rFonts w:ascii="Times New Roman" w:hAnsi="Times New Roman" w:cs="Times New Roman"/>
          <w:sz w:val="24"/>
          <w:szCs w:val="24"/>
        </w:rPr>
        <w:t>final</w:t>
      </w:r>
      <w:r w:rsidR="000964B4">
        <w:rPr>
          <w:rFonts w:ascii="Times New Roman" w:hAnsi="Times New Roman" w:cs="Times New Roman"/>
          <w:sz w:val="24"/>
          <w:szCs w:val="24"/>
        </w:rPr>
        <w:t xml:space="preserve"> section </w:t>
      </w:r>
      <w:r w:rsidR="00F16CE1">
        <w:rPr>
          <w:rFonts w:ascii="Times New Roman" w:hAnsi="Times New Roman" w:cs="Times New Roman"/>
          <w:sz w:val="24"/>
          <w:szCs w:val="24"/>
        </w:rPr>
        <w:t>provide</w:t>
      </w:r>
      <w:r w:rsidR="00135F1C">
        <w:rPr>
          <w:rFonts w:ascii="Times New Roman" w:hAnsi="Times New Roman" w:cs="Times New Roman"/>
          <w:sz w:val="24"/>
          <w:szCs w:val="24"/>
        </w:rPr>
        <w:t>s</w:t>
      </w:r>
      <w:r w:rsidR="00F16CE1">
        <w:rPr>
          <w:rFonts w:ascii="Times New Roman" w:hAnsi="Times New Roman" w:cs="Times New Roman"/>
          <w:sz w:val="24"/>
          <w:szCs w:val="24"/>
        </w:rPr>
        <w:t xml:space="preserve"> concluding remarks</w:t>
      </w:r>
      <w:r w:rsidR="00C40006">
        <w:rPr>
          <w:rFonts w:ascii="Times New Roman" w:hAnsi="Times New Roman" w:cs="Times New Roman"/>
          <w:sz w:val="24"/>
          <w:szCs w:val="24"/>
        </w:rPr>
        <w:t>.</w:t>
      </w:r>
    </w:p>
    <w:p w14:paraId="47D3DBDA" w14:textId="77777777" w:rsidR="004F495D" w:rsidRPr="004F495D" w:rsidRDefault="004F495D" w:rsidP="004F495D">
      <w:pPr>
        <w:spacing w:before="120" w:after="0" w:line="360" w:lineRule="auto"/>
        <w:ind w:firstLine="567"/>
        <w:jc w:val="thaiDistribute"/>
        <w:rPr>
          <w:rFonts w:ascii="Times New Roman" w:hAnsi="Times New Roman" w:cs="Times New Roman"/>
          <w:sz w:val="24"/>
          <w:szCs w:val="24"/>
        </w:rPr>
      </w:pPr>
    </w:p>
    <w:p w14:paraId="25A6049A" w14:textId="77777777" w:rsidR="007D6A73" w:rsidRPr="006159C3" w:rsidRDefault="007D6A73" w:rsidP="006159C3">
      <w:pPr>
        <w:pStyle w:val="ListParagraph"/>
        <w:numPr>
          <w:ilvl w:val="0"/>
          <w:numId w:val="8"/>
        </w:numPr>
        <w:spacing w:before="120" w:after="0" w:line="360" w:lineRule="auto"/>
        <w:rPr>
          <w:rFonts w:ascii="Times New Roman" w:hAnsi="Times New Roman" w:cs="Times New Roman"/>
          <w:b/>
          <w:bCs/>
          <w:sz w:val="24"/>
          <w:szCs w:val="24"/>
        </w:rPr>
      </w:pPr>
      <w:r w:rsidRPr="006159C3">
        <w:rPr>
          <w:rFonts w:ascii="Times New Roman" w:hAnsi="Times New Roman" w:cs="Times New Roman"/>
          <w:b/>
          <w:bCs/>
          <w:sz w:val="24"/>
          <w:szCs w:val="24"/>
        </w:rPr>
        <w:t>Overview of Thailand</w:t>
      </w:r>
      <w:r w:rsidR="00C40006">
        <w:rPr>
          <w:rFonts w:ascii="Times New Roman" w:hAnsi="Times New Roman" w:cs="Times New Roman"/>
          <w:b/>
          <w:bCs/>
          <w:sz w:val="24"/>
          <w:szCs w:val="24"/>
        </w:rPr>
        <w:t>’s</w:t>
      </w:r>
      <w:r w:rsidR="00FA7F1E" w:rsidRPr="006159C3">
        <w:rPr>
          <w:rFonts w:ascii="Times New Roman" w:hAnsi="Times New Roman" w:cs="Times New Roman"/>
          <w:b/>
          <w:bCs/>
          <w:sz w:val="24"/>
          <w:szCs w:val="24"/>
        </w:rPr>
        <w:t xml:space="preserve"> Demography and</w:t>
      </w:r>
      <w:r w:rsidRPr="006159C3">
        <w:rPr>
          <w:rFonts w:ascii="Times New Roman" w:hAnsi="Times New Roman" w:cs="Times New Roman"/>
          <w:b/>
          <w:bCs/>
          <w:sz w:val="24"/>
          <w:szCs w:val="24"/>
        </w:rPr>
        <w:t xml:space="preserve"> </w:t>
      </w:r>
      <w:r w:rsidR="00C40006">
        <w:rPr>
          <w:rFonts w:ascii="Times New Roman" w:hAnsi="Times New Roman" w:cs="Times New Roman"/>
          <w:b/>
          <w:bCs/>
          <w:sz w:val="24"/>
          <w:szCs w:val="24"/>
        </w:rPr>
        <w:t xml:space="preserve">its </w:t>
      </w:r>
      <w:r w:rsidRPr="006159C3">
        <w:rPr>
          <w:rFonts w:ascii="Times New Roman" w:hAnsi="Times New Roman" w:cs="Times New Roman"/>
          <w:b/>
          <w:bCs/>
          <w:sz w:val="24"/>
          <w:szCs w:val="24"/>
        </w:rPr>
        <w:t>Public Sector</w:t>
      </w:r>
    </w:p>
    <w:p w14:paraId="6D0B4994" w14:textId="77777777" w:rsidR="00B31A7B" w:rsidRPr="007D6A73" w:rsidRDefault="00E51C70" w:rsidP="007D6A73">
      <w:pPr>
        <w:spacing w:before="120" w:after="0" w:line="360" w:lineRule="auto"/>
        <w:rPr>
          <w:rFonts w:ascii="Times New Roman" w:hAnsi="Times New Roman" w:cs="Times New Roman"/>
          <w:bCs/>
          <w:i/>
          <w:sz w:val="24"/>
          <w:szCs w:val="24"/>
        </w:rPr>
      </w:pPr>
      <w:r w:rsidRPr="007D6A73">
        <w:rPr>
          <w:rFonts w:ascii="Times New Roman" w:hAnsi="Times New Roman" w:cs="Times New Roman"/>
          <w:bCs/>
          <w:i/>
          <w:sz w:val="24"/>
          <w:szCs w:val="24"/>
        </w:rPr>
        <w:t>Population and Demographic Change in Thailand</w:t>
      </w:r>
    </w:p>
    <w:p w14:paraId="6512B776" w14:textId="77777777" w:rsidR="008F3A68" w:rsidRPr="00270A75" w:rsidRDefault="00FC1B67" w:rsidP="003B2FF6">
      <w:pPr>
        <w:spacing w:before="120" w:after="0" w:line="360" w:lineRule="auto"/>
        <w:jc w:val="thaiDistribute"/>
        <w:rPr>
          <w:rFonts w:ascii="Times New Roman" w:hAnsi="Times New Roman" w:cs="Times New Roman"/>
          <w:sz w:val="24"/>
          <w:szCs w:val="24"/>
        </w:rPr>
      </w:pPr>
      <w:r w:rsidRPr="00270A75">
        <w:rPr>
          <w:rFonts w:ascii="Times New Roman" w:hAnsi="Times New Roman" w:cs="Times New Roman"/>
          <w:sz w:val="24"/>
          <w:szCs w:val="24"/>
        </w:rPr>
        <w:t xml:space="preserve">Over the past few decades, </w:t>
      </w:r>
      <w:r w:rsidR="008F3A68" w:rsidRPr="00270A75">
        <w:rPr>
          <w:rFonts w:ascii="Times New Roman" w:hAnsi="Times New Roman" w:cs="Times New Roman"/>
          <w:sz w:val="24"/>
          <w:szCs w:val="24"/>
        </w:rPr>
        <w:t>Thailand has seen rapid demographic change.</w:t>
      </w:r>
      <w:r w:rsidR="00A1192B">
        <w:rPr>
          <w:rFonts w:ascii="Times New Roman" w:hAnsi="Times New Roman" w:cs="Times New Roman"/>
          <w:sz w:val="24"/>
          <w:szCs w:val="24"/>
        </w:rPr>
        <w:t xml:space="preserve"> </w:t>
      </w:r>
      <w:r w:rsidR="00C40006">
        <w:rPr>
          <w:rFonts w:ascii="Times New Roman" w:hAnsi="Times New Roman" w:cs="Times New Roman"/>
          <w:sz w:val="24"/>
          <w:szCs w:val="24"/>
        </w:rPr>
        <w:t>Because</w:t>
      </w:r>
      <w:r w:rsidRPr="00270A75">
        <w:rPr>
          <w:rFonts w:ascii="Times New Roman" w:hAnsi="Times New Roman" w:cs="Times New Roman"/>
          <w:sz w:val="24"/>
          <w:szCs w:val="24"/>
        </w:rPr>
        <w:t xml:space="preserve"> high population growth in 1970s was considered an obstacle to economic growth, </w:t>
      </w:r>
      <w:r w:rsidR="004735D0" w:rsidRPr="00270A75">
        <w:rPr>
          <w:rFonts w:ascii="Times New Roman" w:hAnsi="Times New Roman" w:cs="Times New Roman"/>
          <w:sz w:val="24"/>
          <w:szCs w:val="24"/>
        </w:rPr>
        <w:t>intensive population growth</w:t>
      </w:r>
      <w:r w:rsidR="00A1192B">
        <w:rPr>
          <w:rFonts w:ascii="Times New Roman" w:hAnsi="Times New Roman" w:cs="Times New Roman"/>
          <w:sz w:val="24"/>
          <w:szCs w:val="24"/>
        </w:rPr>
        <w:t>-reduction polic</w:t>
      </w:r>
      <w:r w:rsidR="00C40006">
        <w:rPr>
          <w:rFonts w:ascii="Times New Roman" w:hAnsi="Times New Roman" w:cs="Times New Roman"/>
          <w:sz w:val="24"/>
          <w:szCs w:val="24"/>
        </w:rPr>
        <w:t>ies</w:t>
      </w:r>
      <w:r w:rsidR="00A1192B">
        <w:rPr>
          <w:rFonts w:ascii="Times New Roman" w:hAnsi="Times New Roman" w:cs="Times New Roman"/>
          <w:sz w:val="24"/>
          <w:szCs w:val="24"/>
        </w:rPr>
        <w:t xml:space="preserve"> w</w:t>
      </w:r>
      <w:r w:rsidR="00C40006">
        <w:rPr>
          <w:rFonts w:ascii="Times New Roman" w:hAnsi="Times New Roman" w:cs="Times New Roman"/>
          <w:sz w:val="24"/>
          <w:szCs w:val="24"/>
        </w:rPr>
        <w:t>ere</w:t>
      </w:r>
      <w:r w:rsidR="00A1192B">
        <w:rPr>
          <w:rFonts w:ascii="Times New Roman" w:hAnsi="Times New Roman" w:cs="Times New Roman"/>
          <w:sz w:val="24"/>
          <w:szCs w:val="24"/>
        </w:rPr>
        <w:t xml:space="preserve"> continuous</w:t>
      </w:r>
      <w:r w:rsidR="004735D0" w:rsidRPr="00270A75">
        <w:rPr>
          <w:rFonts w:ascii="Times New Roman" w:hAnsi="Times New Roman" w:cs="Times New Roman"/>
          <w:sz w:val="24"/>
          <w:szCs w:val="24"/>
        </w:rPr>
        <w:t xml:space="preserve">ly implemented between 1977 and 1996. </w:t>
      </w:r>
      <w:r w:rsidR="00C40006">
        <w:rPr>
          <w:rFonts w:ascii="Times New Roman" w:hAnsi="Times New Roman" w:cs="Times New Roman"/>
          <w:sz w:val="24"/>
          <w:szCs w:val="24"/>
        </w:rPr>
        <w:t>As a</w:t>
      </w:r>
      <w:r w:rsidR="004735D0" w:rsidRPr="00270A75">
        <w:rPr>
          <w:rFonts w:ascii="Times New Roman" w:hAnsi="Times New Roman" w:cs="Times New Roman"/>
          <w:sz w:val="24"/>
          <w:szCs w:val="24"/>
        </w:rPr>
        <w:t xml:space="preserve"> result</w:t>
      </w:r>
      <w:r w:rsidR="00C40006">
        <w:rPr>
          <w:rFonts w:ascii="Times New Roman" w:hAnsi="Times New Roman" w:cs="Times New Roman"/>
          <w:sz w:val="24"/>
          <w:szCs w:val="24"/>
        </w:rPr>
        <w:t xml:space="preserve"> of policy and socio-economic change</w:t>
      </w:r>
      <w:r w:rsidR="004735D0" w:rsidRPr="00270A75">
        <w:rPr>
          <w:rFonts w:ascii="Times New Roman" w:hAnsi="Times New Roman" w:cs="Times New Roman"/>
          <w:sz w:val="24"/>
          <w:szCs w:val="24"/>
        </w:rPr>
        <w:t>,</w:t>
      </w:r>
      <w:r w:rsidR="009C143B" w:rsidRPr="00270A75">
        <w:rPr>
          <w:rFonts w:ascii="Times New Roman" w:hAnsi="Times New Roman" w:cs="Times New Roman"/>
          <w:sz w:val="24"/>
          <w:szCs w:val="24"/>
        </w:rPr>
        <w:t xml:space="preserve"> </w:t>
      </w:r>
      <w:r w:rsidR="00C40006">
        <w:rPr>
          <w:rFonts w:ascii="Times New Roman" w:hAnsi="Times New Roman" w:cs="Times New Roman"/>
          <w:sz w:val="24"/>
          <w:szCs w:val="24"/>
        </w:rPr>
        <w:t xml:space="preserve">the </w:t>
      </w:r>
      <w:r w:rsidR="009C143B" w:rsidRPr="00270A75">
        <w:rPr>
          <w:rFonts w:ascii="Times New Roman" w:hAnsi="Times New Roman" w:cs="Times New Roman"/>
          <w:sz w:val="24"/>
          <w:szCs w:val="24"/>
        </w:rPr>
        <w:t xml:space="preserve">total fertility rate declined remarkably. </w:t>
      </w:r>
      <w:r w:rsidR="00AB559A" w:rsidRPr="00270A75">
        <w:rPr>
          <w:rFonts w:ascii="Times New Roman" w:hAnsi="Times New Roman" w:cs="Times New Roman"/>
          <w:sz w:val="24"/>
          <w:szCs w:val="24"/>
        </w:rPr>
        <w:t xml:space="preserve">In </w:t>
      </w:r>
      <w:r w:rsidR="00AB559A" w:rsidRPr="00270A75">
        <w:rPr>
          <w:rFonts w:ascii="Times New Roman" w:hAnsi="Times New Roman" w:cs="Times New Roman"/>
          <w:sz w:val="24"/>
          <w:szCs w:val="24"/>
        </w:rPr>
        <w:lastRenderedPageBreak/>
        <w:t xml:space="preserve">fact, Thailand </w:t>
      </w:r>
      <w:r w:rsidR="00C40006">
        <w:rPr>
          <w:rFonts w:ascii="Times New Roman" w:hAnsi="Times New Roman" w:cs="Times New Roman"/>
          <w:sz w:val="24"/>
          <w:szCs w:val="24"/>
        </w:rPr>
        <w:t>is</w:t>
      </w:r>
      <w:r w:rsidR="00AB559A" w:rsidRPr="00270A75">
        <w:rPr>
          <w:rFonts w:ascii="Times New Roman" w:hAnsi="Times New Roman" w:cs="Times New Roman"/>
          <w:sz w:val="24"/>
          <w:szCs w:val="24"/>
        </w:rPr>
        <w:t xml:space="preserve"> one of the countries with the most rapid fertility reduction and the shortest period of fertility transition in Southeast Asia. </w:t>
      </w:r>
      <w:r w:rsidR="00C40006">
        <w:rPr>
          <w:rFonts w:ascii="Times New Roman" w:hAnsi="Times New Roman" w:cs="Times New Roman"/>
          <w:sz w:val="24"/>
          <w:szCs w:val="24"/>
        </w:rPr>
        <w:t>The t</w:t>
      </w:r>
      <w:r w:rsidR="009C143B" w:rsidRPr="00270A75">
        <w:rPr>
          <w:rFonts w:ascii="Times New Roman" w:hAnsi="Times New Roman" w:cs="Times New Roman"/>
          <w:sz w:val="24"/>
          <w:szCs w:val="24"/>
        </w:rPr>
        <w:t xml:space="preserve">otal fertility rate fell from 6.30 during 1964-1965 to 1.82 in 2000-2005, </w:t>
      </w:r>
      <w:r w:rsidR="00C40006">
        <w:rPr>
          <w:rFonts w:ascii="Times New Roman" w:hAnsi="Times New Roman" w:cs="Times New Roman"/>
          <w:sz w:val="24"/>
          <w:szCs w:val="24"/>
        </w:rPr>
        <w:t>below</w:t>
      </w:r>
      <w:r w:rsidR="009C143B" w:rsidRPr="00270A75">
        <w:rPr>
          <w:rFonts w:ascii="Times New Roman" w:hAnsi="Times New Roman" w:cs="Times New Roman"/>
          <w:sz w:val="24"/>
          <w:szCs w:val="24"/>
        </w:rPr>
        <w:t xml:space="preserve"> replacement level. The rate continued to fall to 1.62 in 2005-2010</w:t>
      </w:r>
      <w:r w:rsidR="00122F53" w:rsidRPr="00270A75">
        <w:rPr>
          <w:rFonts w:ascii="Times New Roman" w:hAnsi="Times New Roman" w:cs="Times New Roman"/>
          <w:sz w:val="24"/>
          <w:szCs w:val="24"/>
        </w:rPr>
        <w:t xml:space="preserve"> and is expected to continue to decline in the near future. </w:t>
      </w:r>
      <w:r w:rsidR="00C40006">
        <w:rPr>
          <w:rFonts w:ascii="Times New Roman" w:hAnsi="Times New Roman" w:cs="Times New Roman"/>
          <w:sz w:val="24"/>
          <w:szCs w:val="24"/>
        </w:rPr>
        <w:t xml:space="preserve">Concerns about high fertility and its development effects have been replaced with concerns over </w:t>
      </w:r>
      <w:r w:rsidR="0098300C" w:rsidRPr="00270A75">
        <w:rPr>
          <w:rFonts w:ascii="Times New Roman" w:hAnsi="Times New Roman" w:cs="Times New Roman"/>
          <w:sz w:val="24"/>
          <w:szCs w:val="24"/>
        </w:rPr>
        <w:t xml:space="preserve">low and </w:t>
      </w:r>
      <w:r w:rsidR="00C40006">
        <w:rPr>
          <w:rFonts w:ascii="Times New Roman" w:hAnsi="Times New Roman" w:cs="Times New Roman"/>
          <w:sz w:val="24"/>
          <w:szCs w:val="24"/>
        </w:rPr>
        <w:t xml:space="preserve">perhaps further declines in the </w:t>
      </w:r>
      <w:r w:rsidR="0098300C" w:rsidRPr="00270A75">
        <w:rPr>
          <w:rFonts w:ascii="Times New Roman" w:hAnsi="Times New Roman" w:cs="Times New Roman"/>
          <w:sz w:val="24"/>
          <w:szCs w:val="24"/>
        </w:rPr>
        <w:t xml:space="preserve">fertility rate. </w:t>
      </w:r>
      <w:r w:rsidR="00122F53" w:rsidRPr="00270A75">
        <w:rPr>
          <w:rFonts w:ascii="Times New Roman" w:hAnsi="Times New Roman" w:cs="Times New Roman"/>
          <w:sz w:val="24"/>
          <w:szCs w:val="24"/>
        </w:rPr>
        <w:t>According to the NESDB’s population projection (</w:t>
      </w:r>
      <w:r w:rsidR="00AB559A" w:rsidRPr="00270A75">
        <w:rPr>
          <w:rFonts w:ascii="Times New Roman" w:hAnsi="Times New Roman" w:cs="Times New Roman"/>
          <w:sz w:val="24"/>
          <w:szCs w:val="24"/>
        </w:rPr>
        <w:t>NESDB, 2013</w:t>
      </w:r>
      <w:r w:rsidR="00122F53" w:rsidRPr="00270A75">
        <w:rPr>
          <w:rFonts w:ascii="Times New Roman" w:hAnsi="Times New Roman" w:cs="Times New Roman"/>
          <w:sz w:val="24"/>
          <w:szCs w:val="24"/>
        </w:rPr>
        <w:t xml:space="preserve">), the total population will continue to increase until reaching its peak at 66.4 million people in 2026. </w:t>
      </w:r>
      <w:r w:rsidR="00A1192B">
        <w:rPr>
          <w:rFonts w:ascii="Times New Roman" w:hAnsi="Times New Roman" w:cs="Times New Roman"/>
          <w:sz w:val="24"/>
          <w:szCs w:val="24"/>
        </w:rPr>
        <w:t>Afterwards</w:t>
      </w:r>
      <w:r w:rsidR="00122F53" w:rsidRPr="00270A75">
        <w:rPr>
          <w:rFonts w:ascii="Times New Roman" w:hAnsi="Times New Roman" w:cs="Times New Roman"/>
          <w:sz w:val="24"/>
          <w:szCs w:val="24"/>
        </w:rPr>
        <w:t xml:space="preserve">, the population will gradually decline to 63.9 million people in 2040. </w:t>
      </w:r>
      <w:r w:rsidR="004735D0" w:rsidRPr="00270A75">
        <w:rPr>
          <w:rFonts w:ascii="Times New Roman" w:hAnsi="Times New Roman" w:cs="Times New Roman"/>
          <w:sz w:val="24"/>
          <w:szCs w:val="24"/>
        </w:rPr>
        <w:t xml:space="preserve">While Thailand had long been praised as a success case for </w:t>
      </w:r>
      <w:r w:rsidR="00C40006">
        <w:rPr>
          <w:rFonts w:ascii="Times New Roman" w:hAnsi="Times New Roman" w:cs="Times New Roman"/>
          <w:sz w:val="24"/>
          <w:szCs w:val="24"/>
        </w:rPr>
        <w:t>reproductive health</w:t>
      </w:r>
      <w:r w:rsidR="004735D0" w:rsidRPr="00270A75">
        <w:rPr>
          <w:rFonts w:ascii="Times New Roman" w:hAnsi="Times New Roman" w:cs="Times New Roman"/>
          <w:sz w:val="24"/>
          <w:szCs w:val="24"/>
        </w:rPr>
        <w:t xml:space="preserve"> (UNFPA and NESDB, 2011), now such success seems to become a challenge for the country’s future development.</w:t>
      </w:r>
    </w:p>
    <w:p w14:paraId="1A151E15" w14:textId="14EDF9FF" w:rsidR="007D3AAD" w:rsidRDefault="008F3A68" w:rsidP="00D207B7">
      <w:pPr>
        <w:spacing w:before="120" w:after="0" w:line="360" w:lineRule="auto"/>
        <w:ind w:firstLine="567"/>
        <w:jc w:val="thaiDistribute"/>
        <w:rPr>
          <w:rFonts w:ascii="Times New Roman" w:hAnsi="Times New Roman" w:cs="Times New Roman"/>
          <w:sz w:val="24"/>
          <w:szCs w:val="24"/>
        </w:rPr>
      </w:pPr>
      <w:r w:rsidRPr="00270A75">
        <w:rPr>
          <w:rFonts w:ascii="Times New Roman" w:hAnsi="Times New Roman" w:cs="Times New Roman"/>
          <w:sz w:val="24"/>
          <w:szCs w:val="24"/>
        </w:rPr>
        <w:t xml:space="preserve">Not only </w:t>
      </w:r>
      <w:r w:rsidR="00C701AB" w:rsidRPr="00270A75">
        <w:rPr>
          <w:rFonts w:ascii="Times New Roman" w:hAnsi="Times New Roman" w:cs="Times New Roman"/>
          <w:sz w:val="24"/>
          <w:szCs w:val="24"/>
        </w:rPr>
        <w:t xml:space="preserve">is Thailand facing population decline in the near future, its demographic structure </w:t>
      </w:r>
      <w:r w:rsidR="00C40006">
        <w:rPr>
          <w:rFonts w:ascii="Times New Roman" w:hAnsi="Times New Roman" w:cs="Times New Roman"/>
          <w:sz w:val="24"/>
          <w:szCs w:val="24"/>
        </w:rPr>
        <w:t>is</w:t>
      </w:r>
      <w:r w:rsidR="00C701AB" w:rsidRPr="00270A75">
        <w:rPr>
          <w:rFonts w:ascii="Times New Roman" w:hAnsi="Times New Roman" w:cs="Times New Roman"/>
          <w:sz w:val="24"/>
          <w:szCs w:val="24"/>
        </w:rPr>
        <w:t xml:space="preserve"> chang</w:t>
      </w:r>
      <w:r w:rsidR="00C40006">
        <w:rPr>
          <w:rFonts w:ascii="Times New Roman" w:hAnsi="Times New Roman" w:cs="Times New Roman"/>
          <w:sz w:val="24"/>
          <w:szCs w:val="24"/>
        </w:rPr>
        <w:t>ing</w:t>
      </w:r>
      <w:r w:rsidR="00C701AB" w:rsidRPr="00270A75">
        <w:rPr>
          <w:rFonts w:ascii="Times New Roman" w:hAnsi="Times New Roman" w:cs="Times New Roman"/>
          <w:sz w:val="24"/>
          <w:szCs w:val="24"/>
        </w:rPr>
        <w:t xml:space="preserve"> considerably</w:t>
      </w:r>
      <w:r w:rsidR="00A1192B">
        <w:rPr>
          <w:rFonts w:ascii="Times New Roman" w:hAnsi="Times New Roman" w:cs="Times New Roman"/>
          <w:sz w:val="24"/>
          <w:szCs w:val="24"/>
        </w:rPr>
        <w:t>, moving</w:t>
      </w:r>
      <w:r w:rsidR="007D3AAD" w:rsidRPr="00270A75">
        <w:rPr>
          <w:rFonts w:ascii="Times New Roman" w:hAnsi="Times New Roman" w:cs="Times New Roman"/>
          <w:sz w:val="24"/>
          <w:szCs w:val="24"/>
        </w:rPr>
        <w:t xml:space="preserve"> </w:t>
      </w:r>
      <w:r w:rsidR="00C40006">
        <w:rPr>
          <w:rFonts w:ascii="Times New Roman" w:hAnsi="Times New Roman" w:cs="Times New Roman"/>
          <w:sz w:val="24"/>
          <w:szCs w:val="24"/>
        </w:rPr>
        <w:t xml:space="preserve">the country inexorably </w:t>
      </w:r>
      <w:r w:rsidR="007D3AAD" w:rsidRPr="00270A75">
        <w:rPr>
          <w:rFonts w:ascii="Times New Roman" w:hAnsi="Times New Roman" w:cs="Times New Roman"/>
          <w:sz w:val="24"/>
          <w:szCs w:val="24"/>
        </w:rPr>
        <w:t xml:space="preserve">toward </w:t>
      </w:r>
      <w:r w:rsidR="00C40006">
        <w:rPr>
          <w:rFonts w:ascii="Times New Roman" w:hAnsi="Times New Roman" w:cs="Times New Roman"/>
          <w:sz w:val="24"/>
          <w:szCs w:val="24"/>
        </w:rPr>
        <w:t xml:space="preserve">an </w:t>
      </w:r>
      <w:r w:rsidR="007D3AAD" w:rsidRPr="00270A75">
        <w:rPr>
          <w:rFonts w:ascii="Times New Roman" w:hAnsi="Times New Roman" w:cs="Times New Roman"/>
          <w:sz w:val="24"/>
          <w:szCs w:val="24"/>
        </w:rPr>
        <w:t>ageing society</w:t>
      </w:r>
      <w:r w:rsidR="005B2653">
        <w:rPr>
          <w:rFonts w:ascii="Times New Roman" w:hAnsi="Times New Roman" w:cs="Times New Roman"/>
          <w:sz w:val="24"/>
          <w:szCs w:val="24"/>
        </w:rPr>
        <w:t xml:space="preserve"> (Figure 1)</w:t>
      </w:r>
      <w:r w:rsidR="00C701AB" w:rsidRPr="00270A75">
        <w:rPr>
          <w:rFonts w:ascii="Times New Roman" w:hAnsi="Times New Roman" w:cs="Times New Roman"/>
          <w:sz w:val="24"/>
          <w:szCs w:val="24"/>
        </w:rPr>
        <w:t xml:space="preserve">. </w:t>
      </w:r>
      <w:r w:rsidR="00261A63">
        <w:rPr>
          <w:rFonts w:ascii="Times New Roman" w:hAnsi="Times New Roman" w:cs="Times New Roman"/>
          <w:sz w:val="24"/>
          <w:szCs w:val="24"/>
        </w:rPr>
        <w:t>The</w:t>
      </w:r>
      <w:r w:rsidR="00C701AB" w:rsidRPr="00270A75">
        <w:rPr>
          <w:rFonts w:ascii="Times New Roman" w:hAnsi="Times New Roman" w:cs="Times New Roman"/>
          <w:sz w:val="24"/>
          <w:szCs w:val="24"/>
        </w:rPr>
        <w:t xml:space="preserve"> child- and working-age population</w:t>
      </w:r>
      <w:r w:rsidR="00261A63">
        <w:rPr>
          <w:rFonts w:ascii="Times New Roman" w:hAnsi="Times New Roman" w:cs="Times New Roman"/>
          <w:sz w:val="24"/>
          <w:szCs w:val="24"/>
        </w:rPr>
        <w:t>s</w:t>
      </w:r>
      <w:r w:rsidR="00F625D3" w:rsidRPr="00270A75">
        <w:rPr>
          <w:rFonts w:ascii="Times New Roman" w:hAnsi="Times New Roman" w:cs="Times New Roman"/>
          <w:sz w:val="24"/>
          <w:szCs w:val="24"/>
        </w:rPr>
        <w:t xml:space="preserve"> ha</w:t>
      </w:r>
      <w:r w:rsidR="00261A63">
        <w:rPr>
          <w:rFonts w:ascii="Times New Roman" w:hAnsi="Times New Roman" w:cs="Times New Roman"/>
          <w:sz w:val="24"/>
          <w:szCs w:val="24"/>
        </w:rPr>
        <w:t>ve</w:t>
      </w:r>
      <w:r w:rsidR="00F625D3" w:rsidRPr="00270A75">
        <w:rPr>
          <w:rFonts w:ascii="Times New Roman" w:hAnsi="Times New Roman" w:cs="Times New Roman"/>
          <w:sz w:val="24"/>
          <w:szCs w:val="24"/>
        </w:rPr>
        <w:t xml:space="preserve"> </w:t>
      </w:r>
      <w:r w:rsidR="00997E48" w:rsidRPr="00270A75">
        <w:rPr>
          <w:rFonts w:ascii="Times New Roman" w:hAnsi="Times New Roman" w:cs="Times New Roman"/>
          <w:sz w:val="24"/>
          <w:szCs w:val="24"/>
        </w:rPr>
        <w:t xml:space="preserve">already </w:t>
      </w:r>
      <w:r w:rsidR="00F625D3" w:rsidRPr="00270A75">
        <w:rPr>
          <w:rFonts w:ascii="Times New Roman" w:hAnsi="Times New Roman" w:cs="Times New Roman"/>
          <w:sz w:val="24"/>
          <w:szCs w:val="24"/>
        </w:rPr>
        <w:t>be</w:t>
      </w:r>
      <w:r w:rsidR="00261A63">
        <w:rPr>
          <w:rFonts w:ascii="Times New Roman" w:hAnsi="Times New Roman" w:cs="Times New Roman"/>
          <w:sz w:val="24"/>
          <w:szCs w:val="24"/>
        </w:rPr>
        <w:t xml:space="preserve">gun to </w:t>
      </w:r>
      <w:r w:rsidR="00F625D3" w:rsidRPr="00270A75">
        <w:rPr>
          <w:rFonts w:ascii="Times New Roman" w:hAnsi="Times New Roman" w:cs="Times New Roman"/>
          <w:sz w:val="24"/>
          <w:szCs w:val="24"/>
        </w:rPr>
        <w:t>declin</w:t>
      </w:r>
      <w:r w:rsidR="00261A63">
        <w:rPr>
          <w:rFonts w:ascii="Times New Roman" w:hAnsi="Times New Roman" w:cs="Times New Roman"/>
          <w:sz w:val="24"/>
          <w:szCs w:val="24"/>
        </w:rPr>
        <w:t>e</w:t>
      </w:r>
      <w:r w:rsidR="00C701AB" w:rsidRPr="00270A75">
        <w:rPr>
          <w:rFonts w:ascii="Times New Roman" w:hAnsi="Times New Roman" w:cs="Times New Roman"/>
          <w:sz w:val="24"/>
          <w:szCs w:val="24"/>
        </w:rPr>
        <w:t xml:space="preserve">, </w:t>
      </w:r>
      <w:r w:rsidR="00261A63">
        <w:rPr>
          <w:rFonts w:ascii="Times New Roman" w:hAnsi="Times New Roman" w:cs="Times New Roman"/>
          <w:sz w:val="24"/>
          <w:szCs w:val="24"/>
        </w:rPr>
        <w:t xml:space="preserve">and </w:t>
      </w:r>
      <w:r w:rsidR="00A1192B">
        <w:rPr>
          <w:rFonts w:ascii="Times New Roman" w:hAnsi="Times New Roman" w:cs="Times New Roman"/>
          <w:sz w:val="24"/>
          <w:szCs w:val="24"/>
        </w:rPr>
        <w:t xml:space="preserve">the </w:t>
      </w:r>
      <w:r w:rsidR="00C701AB" w:rsidRPr="00270A75">
        <w:rPr>
          <w:rFonts w:ascii="Times New Roman" w:hAnsi="Times New Roman" w:cs="Times New Roman"/>
          <w:sz w:val="24"/>
          <w:szCs w:val="24"/>
        </w:rPr>
        <w:t xml:space="preserve">proportion of older population has constantly increased. </w:t>
      </w:r>
      <w:r w:rsidR="00261A63">
        <w:rPr>
          <w:rFonts w:ascii="Times New Roman" w:hAnsi="Times New Roman" w:cs="Times New Roman"/>
          <w:sz w:val="24"/>
          <w:szCs w:val="24"/>
        </w:rPr>
        <w:t>The c</w:t>
      </w:r>
      <w:r w:rsidR="00C701AB" w:rsidRPr="00270A75">
        <w:rPr>
          <w:rFonts w:ascii="Times New Roman" w:hAnsi="Times New Roman" w:cs="Times New Roman"/>
          <w:sz w:val="24"/>
          <w:szCs w:val="24"/>
        </w:rPr>
        <w:t>hild population</w:t>
      </w:r>
      <w:r w:rsidR="00F625D3" w:rsidRPr="00270A75">
        <w:rPr>
          <w:rFonts w:ascii="Times New Roman" w:hAnsi="Times New Roman" w:cs="Times New Roman"/>
          <w:sz w:val="24"/>
          <w:szCs w:val="24"/>
        </w:rPr>
        <w:t xml:space="preserve"> decreased </w:t>
      </w:r>
      <w:r w:rsidR="00C701AB" w:rsidRPr="00270A75">
        <w:rPr>
          <w:rFonts w:ascii="Times New Roman" w:hAnsi="Times New Roman" w:cs="Times New Roman"/>
          <w:sz w:val="24"/>
          <w:szCs w:val="24"/>
        </w:rPr>
        <w:t xml:space="preserve">from </w:t>
      </w:r>
      <w:r w:rsidR="00F625D3" w:rsidRPr="00270A75">
        <w:rPr>
          <w:rFonts w:ascii="Times New Roman" w:hAnsi="Times New Roman" w:cs="Times New Roman"/>
          <w:sz w:val="24"/>
          <w:szCs w:val="24"/>
        </w:rPr>
        <w:t>15.5</w:t>
      </w:r>
      <w:r w:rsidR="00C701AB" w:rsidRPr="00270A75">
        <w:rPr>
          <w:rFonts w:ascii="Times New Roman" w:hAnsi="Times New Roman" w:cs="Times New Roman"/>
          <w:sz w:val="24"/>
          <w:szCs w:val="24"/>
        </w:rPr>
        <w:t xml:space="preserve"> million or </w:t>
      </w:r>
      <w:r w:rsidR="00F625D3" w:rsidRPr="00270A75">
        <w:rPr>
          <w:rFonts w:ascii="Times New Roman" w:hAnsi="Times New Roman" w:cs="Times New Roman"/>
          <w:sz w:val="24"/>
          <w:szCs w:val="24"/>
        </w:rPr>
        <w:t>45.1</w:t>
      </w:r>
      <w:r w:rsidR="004F495D">
        <w:rPr>
          <w:rFonts w:ascii="Times New Roman" w:hAnsi="Times New Roman" w:cs="Times New Roman"/>
          <w:sz w:val="24"/>
          <w:szCs w:val="24"/>
        </w:rPr>
        <w:t xml:space="preserve"> percent</w:t>
      </w:r>
      <w:r w:rsidR="00997E48" w:rsidRPr="00270A75">
        <w:rPr>
          <w:rFonts w:ascii="Times New Roman" w:hAnsi="Times New Roman" w:cs="Times New Roman"/>
          <w:sz w:val="24"/>
          <w:szCs w:val="24"/>
        </w:rPr>
        <w:t xml:space="preserve"> of total population</w:t>
      </w:r>
      <w:r w:rsidR="00C701AB" w:rsidRPr="00270A75">
        <w:rPr>
          <w:rFonts w:ascii="Times New Roman" w:hAnsi="Times New Roman" w:cs="Times New Roman"/>
          <w:sz w:val="24"/>
          <w:szCs w:val="24"/>
        </w:rPr>
        <w:t xml:space="preserve"> in </w:t>
      </w:r>
      <w:r w:rsidR="00F625D3" w:rsidRPr="00270A75">
        <w:rPr>
          <w:rFonts w:ascii="Times New Roman" w:hAnsi="Times New Roman" w:cs="Times New Roman"/>
          <w:sz w:val="24"/>
          <w:szCs w:val="24"/>
        </w:rPr>
        <w:t>1970 to 12.6 million or 19.8</w:t>
      </w:r>
      <w:r w:rsidR="004F495D">
        <w:rPr>
          <w:rFonts w:ascii="Times New Roman" w:hAnsi="Times New Roman" w:cs="Times New Roman"/>
          <w:sz w:val="24"/>
          <w:szCs w:val="24"/>
        </w:rPr>
        <w:t xml:space="preserve"> percent</w:t>
      </w:r>
      <w:r w:rsidR="00F625D3" w:rsidRPr="00270A75">
        <w:rPr>
          <w:rFonts w:ascii="Times New Roman" w:hAnsi="Times New Roman" w:cs="Times New Roman"/>
          <w:sz w:val="24"/>
          <w:szCs w:val="24"/>
        </w:rPr>
        <w:t xml:space="preserve"> in </w:t>
      </w:r>
      <w:r w:rsidR="00C701AB" w:rsidRPr="00270A75">
        <w:rPr>
          <w:rFonts w:ascii="Times New Roman" w:hAnsi="Times New Roman" w:cs="Times New Roman"/>
          <w:sz w:val="24"/>
          <w:szCs w:val="24"/>
        </w:rPr>
        <w:t xml:space="preserve">2010 </w:t>
      </w:r>
      <w:r w:rsidR="00F625D3" w:rsidRPr="00270A75">
        <w:rPr>
          <w:rFonts w:ascii="Times New Roman" w:hAnsi="Times New Roman" w:cs="Times New Roman"/>
          <w:sz w:val="24"/>
          <w:szCs w:val="24"/>
        </w:rPr>
        <w:t>and is expected to decrease further to</w:t>
      </w:r>
      <w:r w:rsidR="00C701AB" w:rsidRPr="00270A75">
        <w:rPr>
          <w:rFonts w:ascii="Times New Roman" w:hAnsi="Times New Roman" w:cs="Times New Roman"/>
          <w:sz w:val="24"/>
          <w:szCs w:val="24"/>
        </w:rPr>
        <w:t xml:space="preserve"> 8.2 million or 12.8</w:t>
      </w:r>
      <w:r w:rsidR="004F495D">
        <w:rPr>
          <w:rFonts w:ascii="Times New Roman" w:hAnsi="Times New Roman" w:cs="Times New Roman"/>
          <w:sz w:val="24"/>
          <w:szCs w:val="24"/>
        </w:rPr>
        <w:t xml:space="preserve"> percent </w:t>
      </w:r>
      <w:r w:rsidR="00C701AB" w:rsidRPr="00270A75">
        <w:rPr>
          <w:rFonts w:ascii="Times New Roman" w:hAnsi="Times New Roman" w:cs="Times New Roman"/>
          <w:sz w:val="24"/>
          <w:szCs w:val="24"/>
        </w:rPr>
        <w:t xml:space="preserve">in 2040. </w:t>
      </w:r>
      <w:r w:rsidR="00261A63">
        <w:rPr>
          <w:rFonts w:ascii="Times New Roman" w:hAnsi="Times New Roman" w:cs="Times New Roman"/>
          <w:sz w:val="24"/>
          <w:szCs w:val="24"/>
        </w:rPr>
        <w:t>The</w:t>
      </w:r>
      <w:r w:rsidR="00F625D3" w:rsidRPr="00270A75">
        <w:rPr>
          <w:rFonts w:ascii="Times New Roman" w:hAnsi="Times New Roman" w:cs="Times New Roman"/>
          <w:sz w:val="24"/>
          <w:szCs w:val="24"/>
        </w:rPr>
        <w:t xml:space="preserve"> working-age population</w:t>
      </w:r>
      <w:r w:rsidR="009142E8" w:rsidRPr="00270A75">
        <w:rPr>
          <w:rFonts w:ascii="Times New Roman" w:hAnsi="Times New Roman" w:cs="Times New Roman"/>
          <w:sz w:val="24"/>
          <w:szCs w:val="24"/>
        </w:rPr>
        <w:t xml:space="preserve"> </w:t>
      </w:r>
      <w:r w:rsidR="00F625D3" w:rsidRPr="00270A75">
        <w:rPr>
          <w:rFonts w:ascii="Times New Roman" w:hAnsi="Times New Roman" w:cs="Times New Roman"/>
          <w:sz w:val="24"/>
          <w:szCs w:val="24"/>
        </w:rPr>
        <w:t>attained its high point at 42.9 million or 66.9</w:t>
      </w:r>
      <w:r w:rsidR="004F495D">
        <w:rPr>
          <w:rFonts w:ascii="Times New Roman" w:hAnsi="Times New Roman" w:cs="Times New Roman"/>
          <w:sz w:val="24"/>
          <w:szCs w:val="24"/>
        </w:rPr>
        <w:t xml:space="preserve"> percent</w:t>
      </w:r>
      <w:r w:rsidR="00F625D3" w:rsidRPr="00270A75">
        <w:rPr>
          <w:rFonts w:ascii="Times New Roman" w:hAnsi="Times New Roman" w:cs="Times New Roman"/>
          <w:sz w:val="24"/>
          <w:szCs w:val="24"/>
        </w:rPr>
        <w:t xml:space="preserve"> in 2011. </w:t>
      </w:r>
      <w:r w:rsidR="009142E8" w:rsidRPr="00270A75">
        <w:rPr>
          <w:rFonts w:ascii="Times New Roman" w:hAnsi="Times New Roman" w:cs="Times New Roman"/>
          <w:sz w:val="24"/>
          <w:szCs w:val="24"/>
        </w:rPr>
        <w:t>It is</w:t>
      </w:r>
      <w:r w:rsidR="00F625D3" w:rsidRPr="00270A75">
        <w:rPr>
          <w:rFonts w:ascii="Times New Roman" w:hAnsi="Times New Roman" w:cs="Times New Roman"/>
          <w:sz w:val="24"/>
          <w:szCs w:val="24"/>
        </w:rPr>
        <w:t xml:space="preserve"> projected</w:t>
      </w:r>
      <w:r w:rsidR="002C3467" w:rsidRPr="00270A75">
        <w:rPr>
          <w:rFonts w:ascii="Times New Roman" w:hAnsi="Times New Roman" w:cs="Times New Roman"/>
          <w:sz w:val="24"/>
          <w:szCs w:val="24"/>
        </w:rPr>
        <w:t xml:space="preserve"> to</w:t>
      </w:r>
      <w:r w:rsidR="00261A63">
        <w:rPr>
          <w:rFonts w:ascii="Times New Roman" w:hAnsi="Times New Roman" w:cs="Times New Roman"/>
          <w:sz w:val="24"/>
          <w:szCs w:val="24"/>
        </w:rPr>
        <w:t xml:space="preserve"> </w:t>
      </w:r>
      <w:r w:rsidR="009142E8" w:rsidRPr="00270A75">
        <w:rPr>
          <w:rFonts w:ascii="Times New Roman" w:hAnsi="Times New Roman" w:cs="Times New Roman"/>
          <w:sz w:val="24"/>
          <w:szCs w:val="24"/>
        </w:rPr>
        <w:t>fall to</w:t>
      </w:r>
      <w:r w:rsidR="00F625D3" w:rsidRPr="00270A75">
        <w:rPr>
          <w:rFonts w:ascii="Times New Roman" w:hAnsi="Times New Roman" w:cs="Times New Roman"/>
          <w:sz w:val="24"/>
          <w:szCs w:val="24"/>
        </w:rPr>
        <w:t xml:space="preserve"> 35.2 million or 55.1</w:t>
      </w:r>
      <w:r w:rsidR="004F495D">
        <w:rPr>
          <w:rFonts w:ascii="Times New Roman" w:hAnsi="Times New Roman" w:cs="Times New Roman"/>
          <w:sz w:val="24"/>
          <w:szCs w:val="24"/>
        </w:rPr>
        <w:t xml:space="preserve"> percent</w:t>
      </w:r>
      <w:r w:rsidR="009142E8" w:rsidRPr="00270A75">
        <w:rPr>
          <w:rFonts w:ascii="Times New Roman" w:hAnsi="Times New Roman" w:cs="Times New Roman"/>
          <w:sz w:val="24"/>
          <w:szCs w:val="24"/>
        </w:rPr>
        <w:t xml:space="preserve"> of total population</w:t>
      </w:r>
      <w:r w:rsidR="00F625D3" w:rsidRPr="00270A75">
        <w:rPr>
          <w:rFonts w:ascii="Times New Roman" w:hAnsi="Times New Roman" w:cs="Times New Roman"/>
          <w:sz w:val="24"/>
          <w:szCs w:val="24"/>
        </w:rPr>
        <w:t xml:space="preserve"> in 2040.</w:t>
      </w:r>
      <w:r w:rsidR="00261A63">
        <w:rPr>
          <w:rFonts w:ascii="Times New Roman" w:hAnsi="Times New Roman" w:cs="Times New Roman"/>
          <w:sz w:val="24"/>
          <w:szCs w:val="24"/>
        </w:rPr>
        <w:t xml:space="preserve">  In contrast</w:t>
      </w:r>
      <w:r w:rsidR="00997E48" w:rsidRPr="00270A75">
        <w:rPr>
          <w:rFonts w:ascii="Times New Roman" w:hAnsi="Times New Roman" w:cs="Times New Roman"/>
          <w:sz w:val="24"/>
          <w:szCs w:val="24"/>
        </w:rPr>
        <w:t xml:space="preserve">, </w:t>
      </w:r>
      <w:r w:rsidR="00261A63">
        <w:rPr>
          <w:rFonts w:ascii="Times New Roman" w:hAnsi="Times New Roman" w:cs="Times New Roman"/>
          <w:sz w:val="24"/>
          <w:szCs w:val="24"/>
        </w:rPr>
        <w:t xml:space="preserve">the </w:t>
      </w:r>
      <w:r w:rsidR="00997E48" w:rsidRPr="00270A75">
        <w:rPr>
          <w:rFonts w:ascii="Times New Roman" w:hAnsi="Times New Roman" w:cs="Times New Roman"/>
          <w:sz w:val="24"/>
          <w:szCs w:val="24"/>
        </w:rPr>
        <w:t>older population increased from 1.7 million or 4.9</w:t>
      </w:r>
      <w:r w:rsidR="004F495D">
        <w:rPr>
          <w:rFonts w:ascii="Times New Roman" w:hAnsi="Times New Roman" w:cs="Times New Roman"/>
          <w:sz w:val="24"/>
          <w:szCs w:val="24"/>
        </w:rPr>
        <w:t xml:space="preserve"> percent</w:t>
      </w:r>
      <w:r w:rsidR="00997E48" w:rsidRPr="00270A75">
        <w:rPr>
          <w:rFonts w:ascii="Times New Roman" w:hAnsi="Times New Roman" w:cs="Times New Roman"/>
          <w:sz w:val="24"/>
          <w:szCs w:val="24"/>
        </w:rPr>
        <w:t xml:space="preserve"> of total population in 1970 to 8.4 million or 13.2</w:t>
      </w:r>
      <w:r w:rsidR="004F495D">
        <w:rPr>
          <w:rFonts w:ascii="Times New Roman" w:hAnsi="Times New Roman" w:cs="Times New Roman"/>
          <w:sz w:val="24"/>
          <w:szCs w:val="24"/>
        </w:rPr>
        <w:t xml:space="preserve"> percent</w:t>
      </w:r>
      <w:r w:rsidR="00997E48" w:rsidRPr="00270A75">
        <w:rPr>
          <w:rFonts w:ascii="Times New Roman" w:hAnsi="Times New Roman" w:cs="Times New Roman"/>
          <w:sz w:val="24"/>
          <w:szCs w:val="24"/>
        </w:rPr>
        <w:t xml:space="preserve"> in 2010. It is projected to increase to 20.5 million or 32.1</w:t>
      </w:r>
      <w:r w:rsidR="004F495D">
        <w:rPr>
          <w:rFonts w:ascii="Times New Roman" w:hAnsi="Times New Roman" w:cs="Times New Roman"/>
          <w:sz w:val="24"/>
          <w:szCs w:val="24"/>
        </w:rPr>
        <w:t xml:space="preserve"> percent</w:t>
      </w:r>
      <w:r w:rsidR="00997E48" w:rsidRPr="00270A75">
        <w:rPr>
          <w:rFonts w:ascii="Times New Roman" w:hAnsi="Times New Roman" w:cs="Times New Roman"/>
          <w:sz w:val="24"/>
          <w:szCs w:val="24"/>
        </w:rPr>
        <w:t xml:space="preserve"> </w:t>
      </w:r>
      <w:r w:rsidR="00261A63">
        <w:rPr>
          <w:rFonts w:ascii="Times New Roman" w:hAnsi="Times New Roman" w:cs="Times New Roman"/>
          <w:sz w:val="24"/>
          <w:szCs w:val="24"/>
        </w:rPr>
        <w:t xml:space="preserve">of the total population </w:t>
      </w:r>
      <w:r w:rsidR="00997E48" w:rsidRPr="00270A75">
        <w:rPr>
          <w:rFonts w:ascii="Times New Roman" w:hAnsi="Times New Roman" w:cs="Times New Roman"/>
          <w:sz w:val="24"/>
          <w:szCs w:val="24"/>
        </w:rPr>
        <w:t xml:space="preserve">in 2040. </w:t>
      </w:r>
    </w:p>
    <w:p w14:paraId="1CDE4577" w14:textId="055E83A3" w:rsidR="005B2653" w:rsidRDefault="005B2653" w:rsidP="00D207B7">
      <w:pPr>
        <w:spacing w:before="120" w:after="0" w:line="360" w:lineRule="auto"/>
        <w:ind w:firstLine="567"/>
        <w:jc w:val="thaiDistribute"/>
        <w:rPr>
          <w:rFonts w:ascii="Times New Roman" w:hAnsi="Times New Roman" w:cs="Times New Roman"/>
          <w:sz w:val="24"/>
          <w:szCs w:val="24"/>
        </w:rPr>
      </w:pPr>
    </w:p>
    <w:p w14:paraId="161BB2F6" w14:textId="2705AAD8" w:rsidR="005B2653" w:rsidRDefault="005B2653" w:rsidP="00D207B7">
      <w:pPr>
        <w:spacing w:before="120" w:after="0" w:line="360" w:lineRule="auto"/>
        <w:ind w:firstLine="567"/>
        <w:jc w:val="thaiDistribute"/>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14:anchorId="4D0878DD" wp14:editId="2218A885">
            <wp:extent cx="5694045" cy="476758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4045" cy="4767580"/>
                    </a:xfrm>
                    <a:prstGeom prst="rect">
                      <a:avLst/>
                    </a:prstGeom>
                    <a:noFill/>
                  </pic:spPr>
                </pic:pic>
              </a:graphicData>
            </a:graphic>
          </wp:inline>
        </w:drawing>
      </w:r>
    </w:p>
    <w:p w14:paraId="3FAD3AD8" w14:textId="50787E2F" w:rsidR="005B2653" w:rsidRDefault="005B2653" w:rsidP="00D207B7">
      <w:pPr>
        <w:spacing w:before="120" w:after="0" w:line="360" w:lineRule="auto"/>
        <w:ind w:firstLine="567"/>
        <w:jc w:val="thaiDistribute"/>
        <w:rPr>
          <w:rFonts w:ascii="Times New Roman" w:hAnsi="Times New Roman" w:cs="Times New Roman"/>
          <w:sz w:val="24"/>
          <w:szCs w:val="24"/>
        </w:rPr>
      </w:pPr>
      <w:r w:rsidRPr="005B2653">
        <w:rPr>
          <w:rFonts w:ascii="Times New Roman" w:hAnsi="Times New Roman" w:cs="Times New Roman"/>
          <w:sz w:val="24"/>
          <w:szCs w:val="24"/>
        </w:rPr>
        <w:t>Figure 1.  Population age distribution, Thailand, selected years.</w:t>
      </w:r>
    </w:p>
    <w:p w14:paraId="73B74223" w14:textId="738F0F80" w:rsidR="005B2653" w:rsidRDefault="005B2653" w:rsidP="00D207B7">
      <w:pPr>
        <w:spacing w:before="120" w:after="0" w:line="360" w:lineRule="auto"/>
        <w:ind w:firstLine="567"/>
        <w:jc w:val="thaiDistribute"/>
        <w:rPr>
          <w:rFonts w:ascii="Times New Roman" w:hAnsi="Times New Roman" w:cs="Times New Roman"/>
          <w:sz w:val="24"/>
          <w:szCs w:val="24"/>
        </w:rPr>
      </w:pPr>
      <w:r w:rsidRPr="005B2653">
        <w:rPr>
          <w:rFonts w:ascii="Times New Roman" w:hAnsi="Times New Roman" w:cs="Times New Roman"/>
          <w:sz w:val="24"/>
          <w:szCs w:val="24"/>
        </w:rPr>
        <w:t>Source: UN Population Division, World Population Prospects (201</w:t>
      </w:r>
      <w:r>
        <w:rPr>
          <w:rFonts w:ascii="Times New Roman" w:hAnsi="Times New Roman" w:cs="Times New Roman"/>
          <w:sz w:val="24"/>
          <w:szCs w:val="24"/>
        </w:rPr>
        <w:t>4</w:t>
      </w:r>
      <w:r w:rsidRPr="005B2653">
        <w:rPr>
          <w:rFonts w:ascii="Times New Roman" w:hAnsi="Times New Roman" w:cs="Times New Roman"/>
          <w:sz w:val="24"/>
          <w:szCs w:val="24"/>
        </w:rPr>
        <w:t xml:space="preserve"> revision)</w:t>
      </w:r>
    </w:p>
    <w:p w14:paraId="372FDAE7" w14:textId="75BCA1E1" w:rsidR="0034429D" w:rsidRPr="00270A75" w:rsidRDefault="0034429D" w:rsidP="00D207B7">
      <w:pPr>
        <w:spacing w:before="120" w:after="0" w:line="360" w:lineRule="auto"/>
        <w:ind w:firstLine="567"/>
        <w:jc w:val="thaiDistribute"/>
        <w:rPr>
          <w:rFonts w:ascii="Times New Roman" w:hAnsi="Times New Roman" w:cs="Times New Roman"/>
          <w:sz w:val="24"/>
          <w:szCs w:val="24"/>
        </w:rPr>
      </w:pPr>
      <w:r w:rsidRPr="00270A75">
        <w:rPr>
          <w:rFonts w:ascii="Times New Roman" w:hAnsi="Times New Roman" w:cs="Times New Roman"/>
          <w:sz w:val="24"/>
          <w:szCs w:val="24"/>
        </w:rPr>
        <w:t>Such changes in population growth and demographic structure bring about challenge</w:t>
      </w:r>
      <w:r w:rsidR="00261A63">
        <w:rPr>
          <w:rFonts w:ascii="Times New Roman" w:hAnsi="Times New Roman" w:cs="Times New Roman"/>
          <w:sz w:val="24"/>
          <w:szCs w:val="24"/>
        </w:rPr>
        <w:t>s</w:t>
      </w:r>
      <w:r w:rsidRPr="00270A75">
        <w:rPr>
          <w:rFonts w:ascii="Times New Roman" w:hAnsi="Times New Roman" w:cs="Times New Roman"/>
          <w:sz w:val="24"/>
          <w:szCs w:val="24"/>
        </w:rPr>
        <w:t xml:space="preserve"> to sustainable economic and social devel</w:t>
      </w:r>
      <w:r w:rsidR="005C5F2C" w:rsidRPr="00270A75">
        <w:rPr>
          <w:rFonts w:ascii="Times New Roman" w:hAnsi="Times New Roman" w:cs="Times New Roman"/>
          <w:sz w:val="24"/>
          <w:szCs w:val="24"/>
        </w:rPr>
        <w:t>opment of Thailand</w:t>
      </w:r>
      <w:r w:rsidRPr="00270A75">
        <w:rPr>
          <w:rFonts w:ascii="Times New Roman" w:hAnsi="Times New Roman" w:cs="Times New Roman"/>
          <w:sz w:val="24"/>
          <w:szCs w:val="24"/>
        </w:rPr>
        <w:t xml:space="preserve">. </w:t>
      </w:r>
      <w:r w:rsidR="00261A63">
        <w:rPr>
          <w:rFonts w:ascii="Times New Roman" w:hAnsi="Times New Roman" w:cs="Times New Roman"/>
          <w:sz w:val="24"/>
          <w:szCs w:val="24"/>
        </w:rPr>
        <w:t xml:space="preserve">If accurate and in absence of other compensating changes, the population will begin to decline in 2026 leading to decline in the number of consumers and further decline in the number of workers. </w:t>
      </w:r>
      <w:r w:rsidR="00356A72" w:rsidRPr="00270A75">
        <w:rPr>
          <w:rFonts w:ascii="Times New Roman" w:hAnsi="Times New Roman" w:cs="Times New Roman"/>
          <w:sz w:val="24"/>
          <w:szCs w:val="24"/>
        </w:rPr>
        <w:t xml:space="preserve">Accordingly, </w:t>
      </w:r>
      <w:r w:rsidR="00261A63">
        <w:rPr>
          <w:rFonts w:ascii="Times New Roman" w:hAnsi="Times New Roman" w:cs="Times New Roman"/>
          <w:sz w:val="24"/>
          <w:szCs w:val="24"/>
        </w:rPr>
        <w:t xml:space="preserve">the </w:t>
      </w:r>
      <w:r w:rsidR="00356A72" w:rsidRPr="00270A75">
        <w:rPr>
          <w:rFonts w:ascii="Times New Roman" w:hAnsi="Times New Roman" w:cs="Times New Roman"/>
          <w:sz w:val="24"/>
          <w:szCs w:val="24"/>
        </w:rPr>
        <w:t xml:space="preserve">size of domestic market </w:t>
      </w:r>
      <w:r w:rsidR="00261A63">
        <w:rPr>
          <w:rFonts w:ascii="Times New Roman" w:hAnsi="Times New Roman" w:cs="Times New Roman"/>
          <w:sz w:val="24"/>
          <w:szCs w:val="24"/>
        </w:rPr>
        <w:t xml:space="preserve">may </w:t>
      </w:r>
      <w:r w:rsidR="00356A72" w:rsidRPr="00270A75">
        <w:rPr>
          <w:rFonts w:ascii="Times New Roman" w:hAnsi="Times New Roman" w:cs="Times New Roman"/>
          <w:sz w:val="24"/>
          <w:szCs w:val="24"/>
        </w:rPr>
        <w:t xml:space="preserve">not grow as </w:t>
      </w:r>
      <w:r w:rsidR="00261A63">
        <w:rPr>
          <w:rFonts w:ascii="Times New Roman" w:hAnsi="Times New Roman" w:cs="Times New Roman"/>
          <w:sz w:val="24"/>
          <w:szCs w:val="24"/>
        </w:rPr>
        <w:t>rapidly</w:t>
      </w:r>
      <w:r w:rsidR="00356A72" w:rsidRPr="00270A75">
        <w:rPr>
          <w:rFonts w:ascii="Times New Roman" w:hAnsi="Times New Roman" w:cs="Times New Roman"/>
          <w:sz w:val="24"/>
          <w:szCs w:val="24"/>
        </w:rPr>
        <w:t xml:space="preserve"> as in the past</w:t>
      </w:r>
      <w:r w:rsidR="005C5F2C" w:rsidRPr="00270A75">
        <w:rPr>
          <w:rFonts w:ascii="Times New Roman" w:hAnsi="Times New Roman" w:cs="Times New Roman"/>
          <w:sz w:val="24"/>
          <w:szCs w:val="24"/>
        </w:rPr>
        <w:t>.</w:t>
      </w:r>
      <w:r w:rsidR="00356A72" w:rsidRPr="00270A75">
        <w:rPr>
          <w:rFonts w:ascii="Times New Roman" w:hAnsi="Times New Roman" w:cs="Times New Roman"/>
          <w:sz w:val="24"/>
          <w:szCs w:val="24"/>
        </w:rPr>
        <w:t xml:space="preserve"> </w:t>
      </w:r>
      <w:r w:rsidR="00261A63">
        <w:rPr>
          <w:rFonts w:ascii="Times New Roman" w:hAnsi="Times New Roman" w:cs="Times New Roman"/>
          <w:sz w:val="24"/>
          <w:szCs w:val="24"/>
        </w:rPr>
        <w:t>M</w:t>
      </w:r>
      <w:r w:rsidR="00356A72" w:rsidRPr="00270A75">
        <w:rPr>
          <w:rFonts w:ascii="Times New Roman" w:hAnsi="Times New Roman" w:cs="Times New Roman"/>
          <w:sz w:val="24"/>
          <w:szCs w:val="24"/>
        </w:rPr>
        <w:t>aintaining economic growth will become more difficult. Moreover, t</w:t>
      </w:r>
      <w:r w:rsidR="005C5F2C" w:rsidRPr="00270A75">
        <w:rPr>
          <w:rFonts w:ascii="Times New Roman" w:hAnsi="Times New Roman" w:cs="Times New Roman"/>
          <w:sz w:val="24"/>
          <w:szCs w:val="24"/>
        </w:rPr>
        <w:t xml:space="preserve">he </w:t>
      </w:r>
      <w:r w:rsidR="00D30C43" w:rsidRPr="00270A75">
        <w:rPr>
          <w:rFonts w:ascii="Times New Roman" w:hAnsi="Times New Roman" w:cs="Times New Roman"/>
          <w:sz w:val="24"/>
          <w:szCs w:val="24"/>
        </w:rPr>
        <w:t xml:space="preserve">increasing share of older population, coupled with declining share </w:t>
      </w:r>
      <w:r w:rsidR="00356A72" w:rsidRPr="00270A75">
        <w:rPr>
          <w:rFonts w:ascii="Times New Roman" w:hAnsi="Times New Roman" w:cs="Times New Roman"/>
          <w:sz w:val="24"/>
          <w:szCs w:val="24"/>
        </w:rPr>
        <w:t>of</w:t>
      </w:r>
      <w:r w:rsidR="00D30C43" w:rsidRPr="00270A75">
        <w:rPr>
          <w:rFonts w:ascii="Times New Roman" w:hAnsi="Times New Roman" w:cs="Times New Roman"/>
          <w:sz w:val="24"/>
          <w:szCs w:val="24"/>
        </w:rPr>
        <w:t xml:space="preserve"> working-age population</w:t>
      </w:r>
      <w:r w:rsidR="00CE7212">
        <w:rPr>
          <w:rFonts w:ascii="Times New Roman" w:hAnsi="Times New Roman" w:cs="Times New Roman"/>
          <w:sz w:val="24"/>
          <w:szCs w:val="24"/>
        </w:rPr>
        <w:t xml:space="preserve"> </w:t>
      </w:r>
      <w:r w:rsidR="00261A63">
        <w:rPr>
          <w:rFonts w:ascii="Times New Roman" w:hAnsi="Times New Roman" w:cs="Times New Roman"/>
          <w:sz w:val="24"/>
          <w:szCs w:val="24"/>
        </w:rPr>
        <w:t xml:space="preserve">will lead to </w:t>
      </w:r>
      <w:r w:rsidR="00356A72" w:rsidRPr="00270A75">
        <w:rPr>
          <w:rFonts w:ascii="Times New Roman" w:hAnsi="Times New Roman" w:cs="Times New Roman"/>
          <w:sz w:val="24"/>
          <w:szCs w:val="24"/>
        </w:rPr>
        <w:t xml:space="preserve">a higher old-age dependency ratio. </w:t>
      </w:r>
      <w:r w:rsidR="006A469D" w:rsidRPr="00270A75">
        <w:rPr>
          <w:rFonts w:ascii="Times New Roman" w:hAnsi="Times New Roman" w:cs="Times New Roman"/>
          <w:sz w:val="24"/>
          <w:szCs w:val="24"/>
        </w:rPr>
        <w:t xml:space="preserve">This means that, on average, there will be </w:t>
      </w:r>
      <w:r w:rsidR="00261A63">
        <w:rPr>
          <w:rFonts w:ascii="Times New Roman" w:hAnsi="Times New Roman" w:cs="Times New Roman"/>
          <w:sz w:val="24"/>
          <w:szCs w:val="24"/>
        </w:rPr>
        <w:t>fewer</w:t>
      </w:r>
      <w:r w:rsidR="006A469D" w:rsidRPr="00270A75">
        <w:rPr>
          <w:rFonts w:ascii="Times New Roman" w:hAnsi="Times New Roman" w:cs="Times New Roman"/>
          <w:sz w:val="24"/>
          <w:szCs w:val="24"/>
        </w:rPr>
        <w:t xml:space="preserve"> working-age </w:t>
      </w:r>
      <w:r w:rsidR="00261A63">
        <w:rPr>
          <w:rFonts w:ascii="Times New Roman" w:hAnsi="Times New Roman" w:cs="Times New Roman"/>
          <w:sz w:val="24"/>
          <w:szCs w:val="24"/>
        </w:rPr>
        <w:t>persons</w:t>
      </w:r>
      <w:r w:rsidR="006A469D" w:rsidRPr="00270A75">
        <w:rPr>
          <w:rFonts w:ascii="Times New Roman" w:hAnsi="Times New Roman" w:cs="Times New Roman"/>
          <w:sz w:val="24"/>
          <w:szCs w:val="24"/>
        </w:rPr>
        <w:t xml:space="preserve"> to support </w:t>
      </w:r>
      <w:r w:rsidR="00261A63">
        <w:rPr>
          <w:rFonts w:ascii="Times New Roman" w:hAnsi="Times New Roman" w:cs="Times New Roman"/>
          <w:sz w:val="24"/>
          <w:szCs w:val="24"/>
        </w:rPr>
        <w:t xml:space="preserve">the </w:t>
      </w:r>
      <w:r w:rsidR="000205D5" w:rsidRPr="00270A75">
        <w:rPr>
          <w:rFonts w:ascii="Times New Roman" w:hAnsi="Times New Roman" w:cs="Times New Roman"/>
          <w:sz w:val="24"/>
          <w:szCs w:val="24"/>
        </w:rPr>
        <w:t>older</w:t>
      </w:r>
      <w:r w:rsidR="003B2FF6">
        <w:rPr>
          <w:rFonts w:ascii="Times New Roman" w:hAnsi="Times New Roman" w:cs="Times New Roman"/>
          <w:sz w:val="24"/>
          <w:szCs w:val="24"/>
        </w:rPr>
        <w:t xml:space="preserve"> </w:t>
      </w:r>
      <w:r w:rsidR="000205D5" w:rsidRPr="00270A75">
        <w:rPr>
          <w:rFonts w:ascii="Times New Roman" w:hAnsi="Times New Roman" w:cs="Times New Roman"/>
          <w:sz w:val="24"/>
          <w:szCs w:val="24"/>
        </w:rPr>
        <w:t xml:space="preserve">population—with </w:t>
      </w:r>
      <w:r w:rsidR="00261A63">
        <w:rPr>
          <w:rFonts w:ascii="Times New Roman" w:hAnsi="Times New Roman" w:cs="Times New Roman"/>
          <w:sz w:val="24"/>
          <w:szCs w:val="24"/>
        </w:rPr>
        <w:t>important</w:t>
      </w:r>
      <w:r w:rsidR="000205D5" w:rsidRPr="00270A75">
        <w:rPr>
          <w:rFonts w:ascii="Times New Roman" w:hAnsi="Times New Roman" w:cs="Times New Roman"/>
          <w:sz w:val="24"/>
          <w:szCs w:val="24"/>
        </w:rPr>
        <w:t xml:space="preserve"> implication</w:t>
      </w:r>
      <w:r w:rsidR="00261A63">
        <w:rPr>
          <w:rFonts w:ascii="Times New Roman" w:hAnsi="Times New Roman" w:cs="Times New Roman"/>
          <w:sz w:val="24"/>
          <w:szCs w:val="24"/>
        </w:rPr>
        <w:t>s</w:t>
      </w:r>
      <w:r w:rsidR="000205D5" w:rsidRPr="00270A75">
        <w:rPr>
          <w:rFonts w:ascii="Times New Roman" w:hAnsi="Times New Roman" w:cs="Times New Roman"/>
          <w:sz w:val="24"/>
          <w:szCs w:val="24"/>
        </w:rPr>
        <w:t xml:space="preserve"> </w:t>
      </w:r>
      <w:r w:rsidR="00261A63">
        <w:rPr>
          <w:rFonts w:ascii="Times New Roman" w:hAnsi="Times New Roman" w:cs="Times New Roman"/>
          <w:sz w:val="24"/>
          <w:szCs w:val="24"/>
        </w:rPr>
        <w:t>for</w:t>
      </w:r>
      <w:r w:rsidR="000205D5" w:rsidRPr="00270A75">
        <w:rPr>
          <w:rFonts w:ascii="Times New Roman" w:hAnsi="Times New Roman" w:cs="Times New Roman"/>
          <w:sz w:val="24"/>
          <w:szCs w:val="24"/>
        </w:rPr>
        <w:t xml:space="preserve"> the sustainability of pension</w:t>
      </w:r>
      <w:r w:rsidR="00261A63">
        <w:rPr>
          <w:rFonts w:ascii="Times New Roman" w:hAnsi="Times New Roman" w:cs="Times New Roman"/>
          <w:sz w:val="24"/>
          <w:szCs w:val="24"/>
        </w:rPr>
        <w:t>s</w:t>
      </w:r>
      <w:r w:rsidR="000205D5" w:rsidRPr="00270A75">
        <w:rPr>
          <w:rFonts w:ascii="Times New Roman" w:hAnsi="Times New Roman" w:cs="Times New Roman"/>
          <w:sz w:val="24"/>
          <w:szCs w:val="24"/>
        </w:rPr>
        <w:t xml:space="preserve"> and other social security schemes. Together with</w:t>
      </w:r>
      <w:r w:rsidR="0003351E" w:rsidRPr="00270A75">
        <w:rPr>
          <w:rFonts w:ascii="Times New Roman" w:hAnsi="Times New Roman" w:cs="Times New Roman"/>
          <w:sz w:val="24"/>
          <w:szCs w:val="24"/>
        </w:rPr>
        <w:t xml:space="preserve"> declining number and share of children, the country will inevitably</w:t>
      </w:r>
      <w:r w:rsidR="00A1192B">
        <w:rPr>
          <w:rFonts w:ascii="Times New Roman" w:hAnsi="Times New Roman" w:cs="Times New Roman"/>
          <w:sz w:val="24"/>
          <w:szCs w:val="24"/>
        </w:rPr>
        <w:t xml:space="preserve"> and urgently</w:t>
      </w:r>
      <w:r w:rsidR="0003351E" w:rsidRPr="00270A75">
        <w:rPr>
          <w:rFonts w:ascii="Times New Roman" w:hAnsi="Times New Roman" w:cs="Times New Roman"/>
          <w:sz w:val="24"/>
          <w:szCs w:val="24"/>
        </w:rPr>
        <w:t xml:space="preserve"> need to </w:t>
      </w:r>
      <w:r w:rsidR="00A1192B">
        <w:rPr>
          <w:rFonts w:ascii="Times New Roman" w:hAnsi="Times New Roman" w:cs="Times New Roman"/>
          <w:sz w:val="24"/>
          <w:szCs w:val="24"/>
        </w:rPr>
        <w:t>prepare</w:t>
      </w:r>
      <w:r w:rsidR="0003351E" w:rsidRPr="00270A75">
        <w:rPr>
          <w:rFonts w:ascii="Times New Roman" w:hAnsi="Times New Roman" w:cs="Times New Roman"/>
          <w:sz w:val="24"/>
          <w:szCs w:val="24"/>
        </w:rPr>
        <w:t xml:space="preserve"> </w:t>
      </w:r>
      <w:r w:rsidR="005B2653">
        <w:rPr>
          <w:rFonts w:ascii="Times New Roman" w:hAnsi="Times New Roman" w:cs="Times New Roman"/>
          <w:sz w:val="24"/>
          <w:szCs w:val="24"/>
        </w:rPr>
        <w:t>f</w:t>
      </w:r>
      <w:r w:rsidR="0003351E" w:rsidRPr="00270A75">
        <w:rPr>
          <w:rFonts w:ascii="Times New Roman" w:hAnsi="Times New Roman" w:cs="Times New Roman"/>
          <w:sz w:val="24"/>
          <w:szCs w:val="24"/>
        </w:rPr>
        <w:t xml:space="preserve">or sustainable </w:t>
      </w:r>
      <w:r w:rsidR="00261A63">
        <w:rPr>
          <w:rFonts w:ascii="Times New Roman" w:hAnsi="Times New Roman" w:cs="Times New Roman"/>
          <w:sz w:val="24"/>
          <w:szCs w:val="24"/>
        </w:rPr>
        <w:t xml:space="preserve">approaches to </w:t>
      </w:r>
      <w:r w:rsidR="0003351E" w:rsidRPr="00270A75">
        <w:rPr>
          <w:rFonts w:ascii="Times New Roman" w:hAnsi="Times New Roman" w:cs="Times New Roman"/>
          <w:sz w:val="24"/>
          <w:szCs w:val="24"/>
        </w:rPr>
        <w:t xml:space="preserve">social welfare. </w:t>
      </w:r>
    </w:p>
    <w:p w14:paraId="30DC4317" w14:textId="77777777" w:rsidR="005B2653" w:rsidRDefault="005B2653" w:rsidP="007D6A73">
      <w:pPr>
        <w:spacing w:before="120" w:after="0" w:line="360" w:lineRule="auto"/>
        <w:rPr>
          <w:rFonts w:ascii="Times New Roman" w:hAnsi="Times New Roman" w:cs="Times New Roman"/>
          <w:bCs/>
          <w:i/>
          <w:sz w:val="24"/>
          <w:szCs w:val="24"/>
        </w:rPr>
      </w:pPr>
    </w:p>
    <w:p w14:paraId="3074AB4B" w14:textId="77777777" w:rsidR="00E75F32" w:rsidRPr="007D6A73" w:rsidRDefault="009E72D4" w:rsidP="007D6A73">
      <w:pPr>
        <w:spacing w:before="120" w:after="0" w:line="360" w:lineRule="auto"/>
        <w:rPr>
          <w:rFonts w:ascii="Times New Roman" w:hAnsi="Times New Roman" w:cs="Times New Roman"/>
          <w:bCs/>
          <w:i/>
          <w:sz w:val="24"/>
          <w:szCs w:val="24"/>
        </w:rPr>
      </w:pPr>
      <w:r w:rsidRPr="007D6A73">
        <w:rPr>
          <w:rFonts w:ascii="Times New Roman" w:hAnsi="Times New Roman" w:cs="Times New Roman"/>
          <w:bCs/>
          <w:i/>
          <w:sz w:val="24"/>
          <w:szCs w:val="24"/>
        </w:rPr>
        <w:t xml:space="preserve">The Public </w:t>
      </w:r>
      <w:r w:rsidR="007B3F67">
        <w:rPr>
          <w:rFonts w:ascii="Times New Roman" w:hAnsi="Times New Roman" w:cs="Times New Roman"/>
          <w:bCs/>
          <w:i/>
          <w:sz w:val="24"/>
          <w:szCs w:val="24"/>
        </w:rPr>
        <w:t>Sector</w:t>
      </w:r>
      <w:r w:rsidR="00E75F32" w:rsidRPr="007D6A73">
        <w:rPr>
          <w:rFonts w:ascii="Times New Roman" w:hAnsi="Times New Roman" w:cs="Times New Roman"/>
          <w:bCs/>
          <w:i/>
          <w:sz w:val="24"/>
          <w:szCs w:val="24"/>
        </w:rPr>
        <w:t xml:space="preserve"> in Thailand</w:t>
      </w:r>
    </w:p>
    <w:p w14:paraId="06DC1B44" w14:textId="494D12D4" w:rsidR="000D5E7C" w:rsidRDefault="000D5E7C" w:rsidP="003B2FF6">
      <w:pPr>
        <w:spacing w:before="120" w:after="0" w:line="360" w:lineRule="auto"/>
        <w:jc w:val="thaiDistribute"/>
        <w:rPr>
          <w:rFonts w:ascii="Times New Roman" w:hAnsi="Times New Roman" w:cs="Times New Roman"/>
          <w:sz w:val="24"/>
          <w:szCs w:val="24"/>
          <w:lang w:val="en-GB"/>
        </w:rPr>
      </w:pPr>
      <w:r>
        <w:rPr>
          <w:rFonts w:ascii="Times New Roman" w:hAnsi="Times New Roman" w:cs="Times New Roman"/>
          <w:sz w:val="24"/>
          <w:szCs w:val="24"/>
          <w:lang w:val="en-GB"/>
        </w:rPr>
        <w:t>Government revenue in Thailand</w:t>
      </w:r>
      <w:r w:rsidR="00320D51">
        <w:rPr>
          <w:rFonts w:ascii="Times New Roman" w:hAnsi="Times New Roman" w:cs="Times New Roman"/>
          <w:sz w:val="24"/>
          <w:szCs w:val="24"/>
          <w:lang w:val="en-GB"/>
        </w:rPr>
        <w:t>, on average,</w:t>
      </w:r>
      <w:r w:rsidR="00A1192B">
        <w:rPr>
          <w:rFonts w:ascii="Times New Roman" w:hAnsi="Times New Roman" w:cs="Times New Roman"/>
          <w:sz w:val="24"/>
          <w:szCs w:val="24"/>
          <w:lang w:val="en-GB"/>
        </w:rPr>
        <w:t xml:space="preserve"> </w:t>
      </w:r>
      <w:r>
        <w:rPr>
          <w:rFonts w:ascii="Times New Roman" w:hAnsi="Times New Roman" w:cs="Angsana New"/>
          <w:sz w:val="24"/>
          <w:szCs w:val="30"/>
          <w:lang w:val="en-GB"/>
        </w:rPr>
        <w:t xml:space="preserve">accounted for </w:t>
      </w:r>
      <w:r w:rsidR="00320D51">
        <w:rPr>
          <w:rFonts w:ascii="Times New Roman" w:hAnsi="Times New Roman" w:cs="Angsana New"/>
          <w:sz w:val="24"/>
          <w:szCs w:val="30"/>
          <w:lang w:val="en-GB"/>
        </w:rPr>
        <w:t>17.5</w:t>
      </w:r>
      <w:r w:rsidR="004F495D">
        <w:rPr>
          <w:rFonts w:ascii="Times New Roman" w:hAnsi="Times New Roman" w:cs="Angsana New"/>
          <w:sz w:val="24"/>
          <w:szCs w:val="30"/>
          <w:lang w:val="en-GB"/>
        </w:rPr>
        <w:t xml:space="preserve"> percent</w:t>
      </w:r>
      <w:r w:rsidR="00320D51">
        <w:rPr>
          <w:rFonts w:ascii="Times New Roman" w:hAnsi="Times New Roman" w:cs="Angsana New"/>
          <w:sz w:val="24"/>
          <w:szCs w:val="30"/>
          <w:lang w:val="en-GB"/>
        </w:rPr>
        <w:t xml:space="preserve"> of GDP between </w:t>
      </w:r>
      <w:r w:rsidR="009E7971">
        <w:rPr>
          <w:rFonts w:ascii="Times New Roman" w:hAnsi="Times New Roman" w:cs="Angsana New"/>
          <w:sz w:val="24"/>
          <w:szCs w:val="30"/>
          <w:lang w:val="en-GB"/>
        </w:rPr>
        <w:t xml:space="preserve">fiscal year (FY) </w:t>
      </w:r>
      <w:r w:rsidR="00320D51">
        <w:rPr>
          <w:rFonts w:ascii="Times New Roman" w:hAnsi="Times New Roman" w:cs="Angsana New"/>
          <w:sz w:val="24"/>
          <w:szCs w:val="30"/>
          <w:lang w:val="en-GB"/>
        </w:rPr>
        <w:t xml:space="preserve">1990 and </w:t>
      </w:r>
      <w:r w:rsidR="009E7971">
        <w:rPr>
          <w:rFonts w:ascii="Times New Roman" w:hAnsi="Times New Roman" w:cs="Angsana New"/>
          <w:sz w:val="24"/>
          <w:szCs w:val="30"/>
          <w:lang w:val="en-GB"/>
        </w:rPr>
        <w:t>FY</w:t>
      </w:r>
      <w:r w:rsidR="00320D51">
        <w:rPr>
          <w:rFonts w:ascii="Times New Roman" w:hAnsi="Times New Roman" w:cs="Angsana New"/>
          <w:sz w:val="24"/>
          <w:szCs w:val="30"/>
          <w:lang w:val="en-GB"/>
        </w:rPr>
        <w:t xml:space="preserve">2014. Along with economic growth, the revenues </w:t>
      </w:r>
      <w:r w:rsidR="00564C6B">
        <w:rPr>
          <w:rFonts w:ascii="Times New Roman" w:hAnsi="Times New Roman" w:cs="Angsana New"/>
          <w:sz w:val="24"/>
          <w:szCs w:val="30"/>
          <w:lang w:val="en-GB"/>
        </w:rPr>
        <w:t xml:space="preserve">steadily </w:t>
      </w:r>
      <w:r w:rsidR="00320D51">
        <w:rPr>
          <w:rFonts w:ascii="Times New Roman" w:hAnsi="Times New Roman" w:cs="Angsana New"/>
          <w:sz w:val="24"/>
          <w:szCs w:val="30"/>
          <w:lang w:val="en-GB"/>
        </w:rPr>
        <w:t xml:space="preserve">increased from </w:t>
      </w:r>
      <w:r w:rsidR="009E7971">
        <w:rPr>
          <w:rFonts w:ascii="Times New Roman" w:hAnsi="Times New Roman" w:cs="Angsana New"/>
          <w:sz w:val="24"/>
          <w:szCs w:val="30"/>
          <w:lang w:val="en-GB"/>
        </w:rPr>
        <w:t xml:space="preserve">404,939 million Baht in FY1990 to 2,171,412 million Baht in FY2014. </w:t>
      </w:r>
      <w:r w:rsidR="000646E8">
        <w:rPr>
          <w:rFonts w:ascii="Times New Roman" w:hAnsi="Times New Roman" w:cs="Times New Roman"/>
          <w:sz w:val="24"/>
          <w:szCs w:val="24"/>
          <w:lang w:val="en-GB"/>
        </w:rPr>
        <w:t>For the sources of revenues, in FY2014, 88.9</w:t>
      </w:r>
      <w:r w:rsidR="004F495D">
        <w:rPr>
          <w:rFonts w:ascii="Times New Roman" w:hAnsi="Times New Roman" w:cs="Times New Roman"/>
          <w:sz w:val="24"/>
          <w:szCs w:val="24"/>
          <w:lang w:val="en-GB"/>
        </w:rPr>
        <w:t xml:space="preserve"> percent</w:t>
      </w:r>
      <w:r w:rsidR="000646E8">
        <w:rPr>
          <w:rFonts w:ascii="Times New Roman" w:hAnsi="Times New Roman" w:cs="Times New Roman"/>
          <w:sz w:val="24"/>
          <w:szCs w:val="24"/>
          <w:lang w:val="en-GB"/>
        </w:rPr>
        <w:t xml:space="preserve"> of government revenues came from tax collection while 11.1</w:t>
      </w:r>
      <w:r w:rsidR="004F495D">
        <w:rPr>
          <w:rFonts w:ascii="Times New Roman" w:hAnsi="Times New Roman" w:cs="Times New Roman"/>
          <w:sz w:val="24"/>
          <w:szCs w:val="24"/>
          <w:lang w:val="en-GB"/>
        </w:rPr>
        <w:t xml:space="preserve"> percent</w:t>
      </w:r>
      <w:r w:rsidR="000646E8">
        <w:rPr>
          <w:rFonts w:ascii="Times New Roman" w:hAnsi="Times New Roman" w:cs="Times New Roman"/>
          <w:sz w:val="24"/>
          <w:szCs w:val="24"/>
          <w:lang w:val="en-GB"/>
        </w:rPr>
        <w:t xml:space="preserve"> was from non-tax revenue. </w:t>
      </w:r>
      <w:r w:rsidR="006F1F22">
        <w:rPr>
          <w:rFonts w:ascii="Times New Roman" w:hAnsi="Times New Roman" w:cs="Times New Roman"/>
          <w:sz w:val="24"/>
          <w:szCs w:val="24"/>
          <w:lang w:val="en-GB"/>
        </w:rPr>
        <w:t>Of tax revenues,</w:t>
      </w:r>
      <w:r w:rsidR="00FA7F1E">
        <w:rPr>
          <w:rFonts w:ascii="Times New Roman" w:hAnsi="Times New Roman" w:cs="Times New Roman"/>
          <w:sz w:val="24"/>
          <w:szCs w:val="24"/>
          <w:lang w:val="en-GB"/>
        </w:rPr>
        <w:t xml:space="preserve"> </w:t>
      </w:r>
      <w:r w:rsidR="006F1F22">
        <w:rPr>
          <w:rFonts w:ascii="Times New Roman" w:hAnsi="Times New Roman" w:cs="Times New Roman"/>
          <w:sz w:val="24"/>
          <w:szCs w:val="24"/>
          <w:lang w:val="en-GB"/>
        </w:rPr>
        <w:t>i</w:t>
      </w:r>
      <w:r w:rsidR="006E6965">
        <w:rPr>
          <w:rFonts w:ascii="Times New Roman" w:hAnsi="Times New Roman" w:cs="Times New Roman"/>
          <w:sz w:val="24"/>
          <w:szCs w:val="24"/>
          <w:lang w:val="en-GB"/>
        </w:rPr>
        <w:t>ndirect tax</w:t>
      </w:r>
      <w:r w:rsidR="000115C8">
        <w:rPr>
          <w:rFonts w:ascii="Times New Roman" w:hAnsi="Times New Roman" w:cs="Times New Roman"/>
          <w:sz w:val="24"/>
          <w:szCs w:val="24"/>
          <w:lang w:val="en-GB"/>
        </w:rPr>
        <w:t>es</w:t>
      </w:r>
      <w:r w:rsidR="006E6965">
        <w:rPr>
          <w:rFonts w:ascii="Times New Roman" w:hAnsi="Times New Roman" w:cs="Times New Roman"/>
          <w:sz w:val="24"/>
          <w:szCs w:val="24"/>
          <w:lang w:val="en-GB"/>
        </w:rPr>
        <w:t xml:space="preserve"> made up </w:t>
      </w:r>
      <w:r w:rsidR="009D5F37">
        <w:rPr>
          <w:rFonts w:ascii="Times New Roman" w:hAnsi="Times New Roman" w:cs="Times New Roman"/>
          <w:sz w:val="24"/>
          <w:szCs w:val="24"/>
          <w:lang w:val="en-GB"/>
        </w:rPr>
        <w:t>the largest</w:t>
      </w:r>
      <w:r w:rsidR="000819A1">
        <w:rPr>
          <w:rFonts w:ascii="Times New Roman" w:hAnsi="Times New Roman" w:cs="Times New Roman"/>
          <w:sz w:val="24"/>
          <w:szCs w:val="24"/>
          <w:lang w:val="en-GB"/>
        </w:rPr>
        <w:t xml:space="preserve"> </w:t>
      </w:r>
      <w:r w:rsidR="006F1F22">
        <w:rPr>
          <w:rFonts w:ascii="Times New Roman" w:hAnsi="Times New Roman" w:cs="Times New Roman"/>
          <w:sz w:val="24"/>
          <w:szCs w:val="24"/>
          <w:lang w:val="en-GB"/>
        </w:rPr>
        <w:t xml:space="preserve">share </w:t>
      </w:r>
      <w:r w:rsidR="000115C8">
        <w:rPr>
          <w:rFonts w:ascii="Times New Roman" w:hAnsi="Times New Roman" w:cs="Times New Roman"/>
          <w:sz w:val="24"/>
          <w:szCs w:val="24"/>
          <w:lang w:val="en-GB"/>
        </w:rPr>
        <w:t>(50.7</w:t>
      </w:r>
      <w:r w:rsidR="004F495D">
        <w:rPr>
          <w:rFonts w:ascii="Times New Roman" w:hAnsi="Times New Roman" w:cs="Times New Roman"/>
          <w:sz w:val="24"/>
          <w:szCs w:val="24"/>
          <w:lang w:val="en-GB"/>
        </w:rPr>
        <w:t xml:space="preserve"> percent</w:t>
      </w:r>
      <w:r w:rsidR="000115C8">
        <w:rPr>
          <w:rFonts w:ascii="Times New Roman" w:hAnsi="Times New Roman" w:cs="Times New Roman"/>
          <w:sz w:val="24"/>
          <w:szCs w:val="24"/>
          <w:lang w:val="en-GB"/>
        </w:rPr>
        <w:t xml:space="preserve"> of government revenues), most</w:t>
      </w:r>
      <w:r w:rsidR="00564C6B">
        <w:rPr>
          <w:rFonts w:ascii="Times New Roman" w:hAnsi="Times New Roman" w:cs="Times New Roman"/>
          <w:sz w:val="24"/>
          <w:szCs w:val="24"/>
          <w:lang w:val="en-GB"/>
        </w:rPr>
        <w:t>ly</w:t>
      </w:r>
      <w:r w:rsidR="000115C8">
        <w:rPr>
          <w:rFonts w:ascii="Times New Roman" w:hAnsi="Times New Roman" w:cs="Times New Roman"/>
          <w:sz w:val="24"/>
          <w:szCs w:val="24"/>
          <w:lang w:val="en-GB"/>
        </w:rPr>
        <w:t xml:space="preserve"> value-added tax (VAT)—accounting for </w:t>
      </w:r>
      <w:r w:rsidR="009D5F37">
        <w:rPr>
          <w:rFonts w:ascii="Times New Roman" w:hAnsi="Times New Roman" w:cs="Times New Roman"/>
          <w:sz w:val="24"/>
          <w:szCs w:val="24"/>
          <w:lang w:val="en-GB"/>
        </w:rPr>
        <w:t>28.5</w:t>
      </w:r>
      <w:r w:rsidR="004F495D">
        <w:rPr>
          <w:rFonts w:ascii="Times New Roman" w:hAnsi="Times New Roman" w:cs="Times New Roman"/>
          <w:sz w:val="24"/>
          <w:szCs w:val="24"/>
          <w:lang w:val="en-GB"/>
        </w:rPr>
        <w:t xml:space="preserve"> percent</w:t>
      </w:r>
      <w:r w:rsidR="000115C8">
        <w:rPr>
          <w:rFonts w:ascii="Times New Roman" w:hAnsi="Times New Roman" w:cs="Times New Roman"/>
          <w:sz w:val="24"/>
          <w:szCs w:val="24"/>
          <w:lang w:val="en-GB"/>
        </w:rPr>
        <w:t xml:space="preserve"> of </w:t>
      </w:r>
      <w:r w:rsidR="009D5F37">
        <w:rPr>
          <w:rFonts w:ascii="Times New Roman" w:hAnsi="Times New Roman" w:cs="Times New Roman"/>
          <w:sz w:val="24"/>
          <w:szCs w:val="24"/>
          <w:lang w:val="en-GB"/>
        </w:rPr>
        <w:t>government revenues</w:t>
      </w:r>
      <w:r w:rsidR="000115C8">
        <w:rPr>
          <w:rFonts w:ascii="Times New Roman" w:hAnsi="Times New Roman" w:cs="Times New Roman"/>
          <w:sz w:val="24"/>
          <w:szCs w:val="24"/>
          <w:lang w:val="en-GB"/>
        </w:rPr>
        <w:t xml:space="preserve">. </w:t>
      </w:r>
      <w:r w:rsidR="0021666E">
        <w:rPr>
          <w:rFonts w:ascii="Times New Roman" w:hAnsi="Times New Roman" w:cs="Times New Roman"/>
          <w:sz w:val="24"/>
          <w:szCs w:val="24"/>
        </w:rPr>
        <w:t>As for direct tax</w:t>
      </w:r>
      <w:r w:rsidR="00564C6B">
        <w:rPr>
          <w:rFonts w:ascii="Times New Roman" w:hAnsi="Times New Roman" w:cs="Times New Roman"/>
          <w:sz w:val="24"/>
          <w:szCs w:val="24"/>
        </w:rPr>
        <w:t>es</w:t>
      </w:r>
      <w:r w:rsidR="0021666E">
        <w:rPr>
          <w:rFonts w:ascii="Times New Roman" w:hAnsi="Times New Roman" w:cs="Times New Roman"/>
          <w:sz w:val="24"/>
          <w:szCs w:val="24"/>
        </w:rPr>
        <w:t>, corporate income tax made up the largest share (22.9</w:t>
      </w:r>
      <w:r w:rsidR="004F495D">
        <w:rPr>
          <w:rFonts w:ascii="Times New Roman" w:hAnsi="Times New Roman" w:cs="Times New Roman"/>
          <w:sz w:val="24"/>
          <w:szCs w:val="24"/>
        </w:rPr>
        <w:t xml:space="preserve"> percent</w:t>
      </w:r>
      <w:r w:rsidR="0021666E">
        <w:rPr>
          <w:rFonts w:ascii="Times New Roman" w:hAnsi="Times New Roman" w:cs="Times New Roman"/>
          <w:sz w:val="24"/>
          <w:szCs w:val="24"/>
        </w:rPr>
        <w:t xml:space="preserve"> of government revenues) while personal income tax accounted for 11.3</w:t>
      </w:r>
      <w:r w:rsidR="004F495D">
        <w:rPr>
          <w:rFonts w:ascii="Times New Roman" w:hAnsi="Times New Roman" w:cs="Times New Roman"/>
          <w:sz w:val="24"/>
          <w:szCs w:val="24"/>
        </w:rPr>
        <w:t xml:space="preserve"> percent</w:t>
      </w:r>
      <w:r w:rsidR="0021666E">
        <w:rPr>
          <w:rFonts w:ascii="Times New Roman" w:hAnsi="Times New Roman" w:cs="Times New Roman"/>
          <w:sz w:val="24"/>
          <w:szCs w:val="24"/>
        </w:rPr>
        <w:t xml:space="preserve"> of government revenues. </w:t>
      </w:r>
      <w:r w:rsidR="000646E8">
        <w:rPr>
          <w:rFonts w:ascii="Times New Roman" w:hAnsi="Times New Roman" w:cs="Times New Roman"/>
          <w:sz w:val="24"/>
          <w:szCs w:val="24"/>
          <w:lang w:val="en-GB"/>
        </w:rPr>
        <w:t xml:space="preserve">Although </w:t>
      </w:r>
      <w:r w:rsidR="000912EA">
        <w:rPr>
          <w:rFonts w:ascii="Times New Roman" w:hAnsi="Times New Roman" w:cs="Times New Roman"/>
          <w:sz w:val="24"/>
          <w:szCs w:val="24"/>
          <w:lang w:val="en-GB"/>
        </w:rPr>
        <w:t>direct tax</w:t>
      </w:r>
      <w:r w:rsidR="00564C6B">
        <w:rPr>
          <w:rFonts w:ascii="Times New Roman" w:hAnsi="Times New Roman" w:cs="Times New Roman"/>
          <w:sz w:val="24"/>
          <w:szCs w:val="24"/>
          <w:lang w:val="en-GB"/>
        </w:rPr>
        <w:t>es</w:t>
      </w:r>
      <w:r w:rsidR="000912EA">
        <w:rPr>
          <w:rFonts w:ascii="Times New Roman" w:hAnsi="Times New Roman" w:cs="Times New Roman"/>
          <w:sz w:val="24"/>
          <w:szCs w:val="24"/>
          <w:lang w:val="en-GB"/>
        </w:rPr>
        <w:t xml:space="preserve"> still has relatively smaller share of tax revenues,</w:t>
      </w:r>
      <w:r w:rsidR="000646E8">
        <w:rPr>
          <w:rFonts w:ascii="Times New Roman" w:hAnsi="Times New Roman" w:cs="Times New Roman"/>
          <w:sz w:val="24"/>
          <w:szCs w:val="24"/>
          <w:lang w:val="en-GB"/>
        </w:rPr>
        <w:t xml:space="preserve"> government has</w:t>
      </w:r>
      <w:r w:rsidR="000912EA">
        <w:rPr>
          <w:rFonts w:ascii="Times New Roman" w:hAnsi="Times New Roman" w:cs="Times New Roman"/>
          <w:sz w:val="24"/>
          <w:szCs w:val="24"/>
          <w:lang w:val="en-GB"/>
        </w:rPr>
        <w:t xml:space="preserve"> become increasingly</w:t>
      </w:r>
      <w:r w:rsidR="000646E8">
        <w:rPr>
          <w:rFonts w:ascii="Times New Roman" w:hAnsi="Times New Roman" w:cs="Times New Roman"/>
          <w:sz w:val="24"/>
          <w:szCs w:val="24"/>
          <w:lang w:val="en-GB"/>
        </w:rPr>
        <w:t xml:space="preserve"> reli</w:t>
      </w:r>
      <w:r w:rsidR="00E34CC7">
        <w:rPr>
          <w:rFonts w:ascii="Times New Roman" w:hAnsi="Times New Roman" w:cs="Times New Roman"/>
          <w:sz w:val="24"/>
          <w:szCs w:val="24"/>
          <w:lang w:val="en-GB"/>
        </w:rPr>
        <w:t>ed</w:t>
      </w:r>
      <w:r w:rsidR="000646E8">
        <w:rPr>
          <w:rFonts w:ascii="Times New Roman" w:hAnsi="Times New Roman" w:cs="Times New Roman"/>
          <w:sz w:val="24"/>
          <w:szCs w:val="24"/>
          <w:lang w:val="en-GB"/>
        </w:rPr>
        <w:t xml:space="preserve"> direct taxes over time. </w:t>
      </w:r>
      <w:r w:rsidR="000912EA">
        <w:rPr>
          <w:rFonts w:ascii="Times New Roman" w:hAnsi="Times New Roman" w:cs="Times New Roman"/>
          <w:sz w:val="24"/>
          <w:szCs w:val="24"/>
          <w:lang w:val="en-GB"/>
        </w:rPr>
        <w:t>Over the period FY1990-FY2014, t</w:t>
      </w:r>
      <w:r w:rsidR="000646E8">
        <w:rPr>
          <w:rFonts w:ascii="Times New Roman" w:hAnsi="Times New Roman" w:cs="Times New Roman"/>
          <w:sz w:val="24"/>
          <w:szCs w:val="24"/>
          <w:lang w:val="en-GB"/>
        </w:rPr>
        <w:t>he share of direct tax to total government revenues rose from 24.7</w:t>
      </w:r>
      <w:r w:rsidR="00084ABF">
        <w:rPr>
          <w:rFonts w:ascii="Times New Roman" w:hAnsi="Times New Roman" w:cs="Times New Roman"/>
          <w:sz w:val="24"/>
          <w:szCs w:val="24"/>
          <w:lang w:val="en-GB"/>
        </w:rPr>
        <w:t xml:space="preserve"> percent</w:t>
      </w:r>
      <w:r w:rsidR="000646E8">
        <w:rPr>
          <w:rFonts w:ascii="Times New Roman" w:hAnsi="Times New Roman" w:cs="Times New Roman"/>
          <w:sz w:val="24"/>
          <w:szCs w:val="24"/>
          <w:lang w:val="en-GB"/>
        </w:rPr>
        <w:t xml:space="preserve"> to 38.2 </w:t>
      </w:r>
      <w:r w:rsidR="00084ABF">
        <w:rPr>
          <w:rFonts w:ascii="Times New Roman" w:hAnsi="Times New Roman" w:cs="Times New Roman"/>
          <w:sz w:val="24"/>
          <w:szCs w:val="24"/>
          <w:lang w:val="en-GB"/>
        </w:rPr>
        <w:t>percent</w:t>
      </w:r>
      <w:r w:rsidR="000646E8">
        <w:rPr>
          <w:rFonts w:ascii="Times New Roman" w:hAnsi="Times New Roman" w:cs="Times New Roman"/>
          <w:sz w:val="24"/>
          <w:szCs w:val="24"/>
          <w:lang w:val="en-GB"/>
        </w:rPr>
        <w:t>.</w:t>
      </w:r>
    </w:p>
    <w:p w14:paraId="450EA9F6" w14:textId="77777777" w:rsidR="00564C6B" w:rsidRDefault="00564C6B" w:rsidP="00564C6B">
      <w:pPr>
        <w:spacing w:before="120" w:after="0" w:line="360" w:lineRule="auto"/>
        <w:jc w:val="thaiDistribute"/>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21"/>
        <w:gridCol w:w="4622"/>
      </w:tblGrid>
      <w:tr w:rsidR="00564C6B" w14:paraId="6CB2228E" w14:textId="77777777" w:rsidTr="00196088">
        <w:tc>
          <w:tcPr>
            <w:tcW w:w="4621" w:type="dxa"/>
            <w:tcBorders>
              <w:top w:val="single" w:sz="4" w:space="0" w:color="auto"/>
              <w:left w:val="single" w:sz="4" w:space="0" w:color="auto"/>
              <w:bottom w:val="single" w:sz="4" w:space="0" w:color="auto"/>
              <w:right w:val="single" w:sz="4" w:space="0" w:color="auto"/>
            </w:tcBorders>
          </w:tcPr>
          <w:p w14:paraId="5E9B2D4A" w14:textId="77777777" w:rsidR="00564C6B" w:rsidRDefault="00564C6B" w:rsidP="00196088">
            <w:pPr>
              <w:spacing w:before="120"/>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14:anchorId="046283B5" wp14:editId="52635A58">
                  <wp:extent cx="2857500" cy="221932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4622" w:type="dxa"/>
            <w:tcBorders>
              <w:top w:val="single" w:sz="4" w:space="0" w:color="auto"/>
              <w:left w:val="single" w:sz="4" w:space="0" w:color="auto"/>
              <w:bottom w:val="single" w:sz="4" w:space="0" w:color="auto"/>
              <w:right w:val="single" w:sz="4" w:space="0" w:color="auto"/>
            </w:tcBorders>
          </w:tcPr>
          <w:p w14:paraId="02255172" w14:textId="77777777" w:rsidR="00564C6B" w:rsidRDefault="00564C6B" w:rsidP="00196088">
            <w:pPr>
              <w:spacing w:before="120" w:line="360" w:lineRule="auto"/>
              <w:rPr>
                <w:rFonts w:ascii="Times New Roman" w:hAnsi="Times New Roman" w:cs="Times New Roman"/>
                <w:noProof/>
                <w:sz w:val="24"/>
                <w:szCs w:val="24"/>
              </w:rPr>
            </w:pPr>
            <w:r>
              <w:rPr>
                <w:rFonts w:ascii="Times New Roman" w:hAnsi="Times New Roman" w:cs="Times New Roman"/>
                <w:noProof/>
                <w:sz w:val="24"/>
                <w:szCs w:val="24"/>
                <w:lang w:bidi="ar-SA"/>
              </w:rPr>
              <w:drawing>
                <wp:inline distT="0" distB="0" distL="0" distR="0" wp14:anchorId="488DC686" wp14:editId="0205D362">
                  <wp:extent cx="2800350" cy="221932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14:paraId="08E49EDF" w14:textId="77777777" w:rsidR="00564C6B" w:rsidRPr="0051038B" w:rsidRDefault="00564C6B" w:rsidP="00564C6B">
      <w:pPr>
        <w:spacing w:before="120"/>
        <w:ind w:left="709" w:hanging="709"/>
        <w:jc w:val="thaiDistribute"/>
        <w:rPr>
          <w:rFonts w:ascii="Times New Roman" w:hAnsi="Times New Roman" w:cs="Times New Roman"/>
          <w:iCs/>
          <w:sz w:val="24"/>
          <w:szCs w:val="24"/>
          <w:lang w:eastAsia="ko-KR"/>
        </w:rPr>
      </w:pPr>
      <w:r w:rsidRPr="0051038B">
        <w:rPr>
          <w:rFonts w:ascii="Times New Roman" w:hAnsi="Times New Roman" w:cs="Times New Roman" w:hint="eastAsia"/>
          <w:iCs/>
          <w:sz w:val="24"/>
          <w:szCs w:val="24"/>
          <w:lang w:eastAsia="ko-KR"/>
        </w:rPr>
        <w:t>Figure 2. Government Budget Structure, 1989-2014.</w:t>
      </w:r>
    </w:p>
    <w:p w14:paraId="45AF902D" w14:textId="77777777" w:rsidR="00564C6B" w:rsidRPr="0051038B" w:rsidRDefault="00564C6B" w:rsidP="00564C6B">
      <w:pPr>
        <w:spacing w:before="120" w:after="0" w:line="360" w:lineRule="auto"/>
        <w:jc w:val="thaiDistribute"/>
        <w:rPr>
          <w:rFonts w:ascii="Times New Roman" w:hAnsi="Times New Roman" w:cs="Times New Roman"/>
          <w:sz w:val="24"/>
          <w:szCs w:val="24"/>
          <w:lang w:eastAsia="ko-KR"/>
        </w:rPr>
      </w:pPr>
      <w:r w:rsidRPr="0051038B">
        <w:rPr>
          <w:rFonts w:ascii="Times New Roman" w:hAnsi="Times New Roman" w:cs="Times New Roman"/>
          <w:iCs/>
          <w:sz w:val="24"/>
          <w:szCs w:val="24"/>
        </w:rPr>
        <w:t>Source</w:t>
      </w:r>
      <w:r w:rsidRPr="0051038B">
        <w:rPr>
          <w:rFonts w:ascii="Times New Roman" w:hAnsi="Times New Roman" w:cs="Times New Roman"/>
          <w:sz w:val="24"/>
          <w:szCs w:val="24"/>
        </w:rPr>
        <w:t>: Fiscal Policy Office</w:t>
      </w:r>
      <w:r>
        <w:rPr>
          <w:rFonts w:ascii="Times New Roman" w:hAnsi="Times New Roman" w:cs="Times New Roman" w:hint="eastAsia"/>
          <w:sz w:val="24"/>
          <w:szCs w:val="24"/>
          <w:lang w:eastAsia="ko-KR"/>
        </w:rPr>
        <w:t>.</w:t>
      </w:r>
      <w:r w:rsidRPr="0051038B">
        <w:rPr>
          <w:rFonts w:ascii="Times New Roman" w:hAnsi="Times New Roman" w:cs="Times New Roman"/>
          <w:sz w:val="24"/>
          <w:szCs w:val="24"/>
        </w:rPr>
        <w:t xml:space="preserve"> </w:t>
      </w:r>
      <w:r>
        <w:rPr>
          <w:rFonts w:ascii="Times New Roman" w:hAnsi="Times New Roman" w:cs="Times New Roman" w:hint="eastAsia"/>
          <w:sz w:val="24"/>
          <w:szCs w:val="24"/>
          <w:lang w:eastAsia="ko-KR"/>
        </w:rPr>
        <w:t xml:space="preserve">2015. </w:t>
      </w:r>
      <w:r w:rsidRPr="0051038B">
        <w:rPr>
          <w:rFonts w:ascii="Times New Roman" w:hAnsi="Times New Roman" w:cs="Times New Roman"/>
          <w:sz w:val="24"/>
          <w:szCs w:val="24"/>
        </w:rPr>
        <w:t xml:space="preserve">Ministry of Finance and several editions of </w:t>
      </w:r>
      <w:r w:rsidRPr="0051038B">
        <w:rPr>
          <w:rFonts w:ascii="Times New Roman" w:hAnsi="Times New Roman" w:cs="Times New Roman"/>
          <w:i/>
          <w:iCs/>
          <w:sz w:val="24"/>
          <w:szCs w:val="24"/>
        </w:rPr>
        <w:t>Budget in Brief</w:t>
      </w:r>
      <w:r w:rsidRPr="0051038B">
        <w:rPr>
          <w:rFonts w:ascii="Times New Roman" w:hAnsi="Times New Roman" w:cs="Times New Roman"/>
          <w:iCs/>
          <w:sz w:val="24"/>
          <w:szCs w:val="24"/>
        </w:rPr>
        <w:t xml:space="preserve"> </w:t>
      </w:r>
      <w:r w:rsidRPr="0051038B">
        <w:rPr>
          <w:rFonts w:ascii="Times New Roman" w:hAnsi="Times New Roman" w:cs="Times New Roman"/>
          <w:sz w:val="24"/>
          <w:szCs w:val="24"/>
        </w:rPr>
        <w:t xml:space="preserve">by Bureau of Budget  </w:t>
      </w:r>
    </w:p>
    <w:p w14:paraId="7B3AECE7" w14:textId="77777777" w:rsidR="00564C6B" w:rsidRDefault="00564C6B" w:rsidP="003B2FF6">
      <w:pPr>
        <w:spacing w:before="120" w:after="0" w:line="360" w:lineRule="auto"/>
        <w:jc w:val="thaiDistribute"/>
        <w:rPr>
          <w:rFonts w:ascii="Times New Roman" w:hAnsi="Times New Roman" w:cs="Times New Roman"/>
          <w:sz w:val="24"/>
          <w:szCs w:val="24"/>
        </w:rPr>
      </w:pPr>
    </w:p>
    <w:p w14:paraId="1E9F62F7" w14:textId="351FAE1D" w:rsidR="002D60C6" w:rsidRDefault="009D5F37" w:rsidP="00A321F9">
      <w:pPr>
        <w:spacing w:before="120" w:after="0" w:line="360" w:lineRule="auto"/>
        <w:ind w:firstLine="567"/>
        <w:jc w:val="thaiDistribute"/>
        <w:rPr>
          <w:rFonts w:ascii="Times New Roman" w:hAnsi="Times New Roman" w:cs="Times New Roman"/>
          <w:sz w:val="24"/>
          <w:szCs w:val="24"/>
          <w:lang w:val="en-GB"/>
        </w:rPr>
      </w:pPr>
      <w:r>
        <w:rPr>
          <w:rFonts w:ascii="Times New Roman" w:hAnsi="Times New Roman" w:cs="Times New Roman"/>
          <w:sz w:val="24"/>
          <w:szCs w:val="24"/>
        </w:rPr>
        <w:t xml:space="preserve">On </w:t>
      </w:r>
      <w:r w:rsidR="00564C6B">
        <w:rPr>
          <w:rFonts w:ascii="Times New Roman" w:hAnsi="Times New Roman" w:cs="Times New Roman"/>
          <w:sz w:val="24"/>
          <w:szCs w:val="24"/>
        </w:rPr>
        <w:t xml:space="preserve">the </w:t>
      </w:r>
      <w:r>
        <w:rPr>
          <w:rFonts w:ascii="Times New Roman" w:hAnsi="Times New Roman" w:cs="Times New Roman"/>
          <w:sz w:val="24"/>
          <w:szCs w:val="24"/>
        </w:rPr>
        <w:t>expenditure side</w:t>
      </w:r>
      <w:r w:rsidR="000D5E7C">
        <w:rPr>
          <w:rFonts w:ascii="Times New Roman" w:hAnsi="Times New Roman" w:cs="Times New Roman"/>
          <w:sz w:val="24"/>
          <w:szCs w:val="24"/>
        </w:rPr>
        <w:t xml:space="preserve">, </w:t>
      </w:r>
      <w:r w:rsidR="00564C6B">
        <w:rPr>
          <w:rFonts w:ascii="Times New Roman" w:hAnsi="Times New Roman" w:cs="Times New Roman"/>
          <w:sz w:val="24"/>
          <w:szCs w:val="24"/>
        </w:rPr>
        <w:t xml:space="preserve">the </w:t>
      </w:r>
      <w:r w:rsidR="000D5E7C">
        <w:rPr>
          <w:rFonts w:ascii="Times New Roman" w:hAnsi="Times New Roman" w:cs="Times New Roman"/>
          <w:sz w:val="24"/>
          <w:szCs w:val="24"/>
          <w:lang w:val="en-GB"/>
        </w:rPr>
        <w:t>government budget in Thailand has increased from 285,500 Million Baht in FY1989 to 2,525,000 Million Baht in FY2014. Co</w:t>
      </w:r>
      <w:r w:rsidR="00E856A3">
        <w:rPr>
          <w:rFonts w:ascii="Times New Roman" w:hAnsi="Times New Roman" w:cs="Times New Roman"/>
          <w:sz w:val="24"/>
          <w:szCs w:val="24"/>
          <w:lang w:val="en-GB"/>
        </w:rPr>
        <w:t>nsidering the budget as a share of</w:t>
      </w:r>
      <w:r w:rsidR="000D5E7C">
        <w:rPr>
          <w:rFonts w:ascii="Times New Roman" w:hAnsi="Times New Roman" w:cs="Times New Roman"/>
          <w:sz w:val="24"/>
          <w:szCs w:val="24"/>
          <w:lang w:val="en-GB"/>
        </w:rPr>
        <w:t xml:space="preserve"> GDP, </w:t>
      </w:r>
      <w:r w:rsidR="00E856A3">
        <w:rPr>
          <w:rFonts w:ascii="Times New Roman" w:hAnsi="Times New Roman" w:cs="Times New Roman"/>
          <w:sz w:val="24"/>
          <w:szCs w:val="24"/>
          <w:lang w:val="en-GB"/>
        </w:rPr>
        <w:t>it</w:t>
      </w:r>
      <w:r w:rsidR="000D5E7C">
        <w:rPr>
          <w:rFonts w:ascii="Times New Roman" w:hAnsi="Times New Roman" w:cs="Times New Roman"/>
          <w:sz w:val="24"/>
          <w:szCs w:val="24"/>
          <w:lang w:val="en-GB"/>
        </w:rPr>
        <w:t xml:space="preserve"> ranged between 15.9</w:t>
      </w:r>
      <w:r w:rsidR="00084ABF">
        <w:rPr>
          <w:rFonts w:ascii="Times New Roman" w:hAnsi="Times New Roman" w:cs="Times New Roman"/>
          <w:sz w:val="24"/>
          <w:szCs w:val="24"/>
          <w:lang w:val="en-GB"/>
        </w:rPr>
        <w:t xml:space="preserve"> percent</w:t>
      </w:r>
      <w:r w:rsidR="000D5E7C">
        <w:rPr>
          <w:rFonts w:ascii="Times New Roman" w:hAnsi="Times New Roman" w:cs="Times New Roman"/>
          <w:sz w:val="24"/>
          <w:szCs w:val="24"/>
          <w:lang w:val="en-GB"/>
        </w:rPr>
        <w:t xml:space="preserve"> of GDP and 22.4 </w:t>
      </w:r>
      <w:r w:rsidR="00084ABF">
        <w:rPr>
          <w:rFonts w:ascii="Times New Roman" w:hAnsi="Times New Roman" w:cs="Times New Roman"/>
          <w:sz w:val="24"/>
          <w:szCs w:val="24"/>
          <w:lang w:val="en-GB"/>
        </w:rPr>
        <w:t>percent</w:t>
      </w:r>
      <w:r w:rsidR="000D5E7C">
        <w:rPr>
          <w:rFonts w:ascii="Times New Roman" w:hAnsi="Times New Roman" w:cs="Times New Roman"/>
          <w:sz w:val="24"/>
          <w:szCs w:val="24"/>
          <w:lang w:val="en-GB"/>
        </w:rPr>
        <w:t xml:space="preserve"> during the FY1989-2014 period—an average of 18.1 </w:t>
      </w:r>
      <w:r w:rsidR="00084ABF">
        <w:rPr>
          <w:rFonts w:ascii="Times New Roman" w:hAnsi="Times New Roman" w:cs="Times New Roman"/>
          <w:sz w:val="24"/>
          <w:szCs w:val="24"/>
          <w:lang w:val="en-GB"/>
        </w:rPr>
        <w:t>percent</w:t>
      </w:r>
      <w:r w:rsidR="000D5E7C">
        <w:rPr>
          <w:rFonts w:ascii="Times New Roman" w:hAnsi="Times New Roman" w:cs="Times New Roman"/>
          <w:sz w:val="24"/>
          <w:szCs w:val="24"/>
          <w:lang w:val="en-GB"/>
        </w:rPr>
        <w:t xml:space="preserve"> </w:t>
      </w:r>
      <w:r w:rsidR="00E856A3">
        <w:rPr>
          <w:rFonts w:ascii="Times New Roman" w:hAnsi="Times New Roman" w:cs="Times New Roman"/>
          <w:sz w:val="24"/>
          <w:szCs w:val="24"/>
          <w:lang w:val="en-GB"/>
        </w:rPr>
        <w:t xml:space="preserve">of </w:t>
      </w:r>
      <w:r w:rsidR="000D5E7C">
        <w:rPr>
          <w:rFonts w:ascii="Times New Roman" w:hAnsi="Times New Roman" w:cs="Times New Roman"/>
          <w:sz w:val="24"/>
          <w:szCs w:val="24"/>
          <w:lang w:val="en-GB"/>
        </w:rPr>
        <w:t xml:space="preserve">GDP. </w:t>
      </w:r>
      <w:r w:rsidR="00564C6B">
        <w:rPr>
          <w:rFonts w:ascii="Times New Roman" w:hAnsi="Times New Roman" w:cs="Times New Roman"/>
          <w:sz w:val="24"/>
          <w:szCs w:val="24"/>
          <w:lang w:val="en-GB"/>
        </w:rPr>
        <w:t xml:space="preserve">Along with an increasing share of GDP, </w:t>
      </w:r>
      <w:r w:rsidR="000D5E7C">
        <w:rPr>
          <w:rFonts w:ascii="Times New Roman" w:hAnsi="Times New Roman" w:cs="Times New Roman"/>
          <w:sz w:val="24"/>
          <w:szCs w:val="24"/>
          <w:lang w:val="en-GB"/>
        </w:rPr>
        <w:t>the structure of the budget</w:t>
      </w:r>
      <w:r w:rsidR="00A752AA">
        <w:rPr>
          <w:rFonts w:ascii="Times New Roman" w:hAnsi="Times New Roman" w:cs="Times New Roman"/>
          <w:sz w:val="24"/>
          <w:szCs w:val="24"/>
          <w:lang w:val="en-GB"/>
        </w:rPr>
        <w:t xml:space="preserve"> itself</w:t>
      </w:r>
      <w:r w:rsidR="000D5E7C">
        <w:rPr>
          <w:rFonts w:ascii="Times New Roman" w:hAnsi="Times New Roman" w:cs="Times New Roman"/>
          <w:sz w:val="24"/>
          <w:szCs w:val="24"/>
          <w:lang w:val="en-GB"/>
        </w:rPr>
        <w:t xml:space="preserve"> has changed considerably</w:t>
      </w:r>
      <w:r w:rsidR="00A752AA">
        <w:rPr>
          <w:rFonts w:ascii="Times New Roman" w:hAnsi="Times New Roman" w:cs="Times New Roman"/>
          <w:sz w:val="24"/>
          <w:szCs w:val="24"/>
          <w:lang w:val="en-GB"/>
        </w:rPr>
        <w:t xml:space="preserve"> over the period</w:t>
      </w:r>
      <w:r w:rsidR="000D5E7C">
        <w:rPr>
          <w:rFonts w:ascii="Times New Roman" w:hAnsi="Times New Roman" w:cs="Times New Roman"/>
          <w:sz w:val="24"/>
          <w:szCs w:val="24"/>
          <w:lang w:val="en-GB"/>
        </w:rPr>
        <w:t xml:space="preserve">. </w:t>
      </w:r>
      <w:r w:rsidR="0049534B">
        <w:rPr>
          <w:rFonts w:ascii="Times New Roman" w:hAnsi="Times New Roman" w:cstheme="minorBidi"/>
          <w:sz w:val="24"/>
          <w:szCs w:val="24"/>
          <w:lang w:val="en-GB"/>
        </w:rPr>
        <w:t xml:space="preserve">The budget structure in figure 2 </w:t>
      </w:r>
      <w:r w:rsidR="00564C6B">
        <w:rPr>
          <w:rFonts w:ascii="Times New Roman" w:hAnsi="Times New Roman" w:cstheme="minorBidi"/>
          <w:sz w:val="24"/>
          <w:szCs w:val="24"/>
          <w:lang w:val="en-GB"/>
        </w:rPr>
        <w:t>shows</w:t>
      </w:r>
      <w:r w:rsidR="0049534B">
        <w:rPr>
          <w:rFonts w:ascii="Times New Roman" w:hAnsi="Times New Roman" w:cstheme="minorBidi"/>
          <w:sz w:val="24"/>
          <w:szCs w:val="24"/>
          <w:lang w:val="en-GB"/>
        </w:rPr>
        <w:t xml:space="preserve"> that the share of expenditure on social services has increased at </w:t>
      </w:r>
      <w:r w:rsidR="00564C6B">
        <w:rPr>
          <w:rFonts w:ascii="Times New Roman" w:hAnsi="Times New Roman" w:cstheme="minorBidi"/>
          <w:sz w:val="24"/>
          <w:szCs w:val="24"/>
          <w:lang w:val="en-GB"/>
        </w:rPr>
        <w:t>the</w:t>
      </w:r>
      <w:r w:rsidR="0049534B">
        <w:rPr>
          <w:rFonts w:ascii="Times New Roman" w:hAnsi="Times New Roman" w:cstheme="minorBidi"/>
          <w:sz w:val="24"/>
          <w:szCs w:val="24"/>
          <w:lang w:val="en-GB"/>
        </w:rPr>
        <w:t xml:space="preserve"> cost of expenditure on economic affairs. </w:t>
      </w:r>
      <w:r w:rsidR="00A321F9">
        <w:rPr>
          <w:rFonts w:ascii="Times New Roman" w:hAnsi="Times New Roman" w:cs="Times New Roman"/>
          <w:sz w:val="24"/>
          <w:szCs w:val="24"/>
          <w:lang w:val="en-GB"/>
        </w:rPr>
        <w:t>This is consisten</w:t>
      </w:r>
      <w:r w:rsidR="00564C6B">
        <w:rPr>
          <w:rFonts w:ascii="Times New Roman" w:hAnsi="Times New Roman" w:cs="Times New Roman"/>
          <w:sz w:val="24"/>
          <w:szCs w:val="24"/>
          <w:lang w:val="en-GB"/>
        </w:rPr>
        <w:t>t</w:t>
      </w:r>
      <w:r w:rsidR="00A321F9">
        <w:rPr>
          <w:rFonts w:ascii="Times New Roman" w:hAnsi="Times New Roman" w:cs="Times New Roman"/>
          <w:sz w:val="24"/>
          <w:szCs w:val="24"/>
          <w:lang w:val="en-GB"/>
        </w:rPr>
        <w:t xml:space="preserve"> with the government policy shift toward social aspects of development since the implementation of the Eighth Plan (1997-2002)</w:t>
      </w:r>
      <w:r w:rsidR="003C62A1">
        <w:rPr>
          <w:rFonts w:ascii="Times New Roman" w:hAnsi="Times New Roman" w:cs="Times New Roman"/>
          <w:sz w:val="24"/>
          <w:szCs w:val="24"/>
          <w:lang w:val="en-GB"/>
        </w:rPr>
        <w:t xml:space="preserve">. </w:t>
      </w:r>
      <w:r w:rsidR="00CE3FBA">
        <w:rPr>
          <w:rFonts w:ascii="Times New Roman" w:hAnsi="Times New Roman" w:cs="Times New Roman"/>
          <w:sz w:val="24"/>
          <w:szCs w:val="24"/>
          <w:lang w:val="en-GB"/>
        </w:rPr>
        <w:t xml:space="preserve">From 1997, Thailand has seen many changes in social policy, particularly the provision of education, public health and protection for elderly and </w:t>
      </w:r>
      <w:r w:rsidR="00564C6B">
        <w:rPr>
          <w:rFonts w:ascii="Times New Roman" w:hAnsi="Times New Roman" w:cs="Times New Roman"/>
          <w:sz w:val="24"/>
          <w:szCs w:val="24"/>
          <w:lang w:val="en-GB"/>
        </w:rPr>
        <w:t xml:space="preserve">the </w:t>
      </w:r>
      <w:r w:rsidR="00CE3FBA">
        <w:rPr>
          <w:rFonts w:ascii="Times New Roman" w:hAnsi="Times New Roman" w:cs="Times New Roman"/>
          <w:sz w:val="24"/>
          <w:szCs w:val="24"/>
          <w:lang w:val="en-GB"/>
        </w:rPr>
        <w:t>disable</w:t>
      </w:r>
      <w:r w:rsidR="00564C6B">
        <w:rPr>
          <w:rFonts w:ascii="Times New Roman" w:hAnsi="Times New Roman" w:cs="Times New Roman"/>
          <w:sz w:val="24"/>
          <w:szCs w:val="24"/>
          <w:lang w:val="en-GB"/>
        </w:rPr>
        <w:t>d</w:t>
      </w:r>
      <w:r w:rsidR="00CE3FBA">
        <w:rPr>
          <w:rFonts w:ascii="Times New Roman" w:hAnsi="Times New Roman" w:cs="Times New Roman"/>
          <w:sz w:val="24"/>
          <w:szCs w:val="24"/>
          <w:lang w:val="en-GB"/>
        </w:rPr>
        <w:t xml:space="preserve">. </w:t>
      </w:r>
      <w:r w:rsidR="005B45ED" w:rsidRPr="005B45ED">
        <w:rPr>
          <w:rFonts w:ascii="Times New Roman" w:hAnsi="Times New Roman" w:cs="Times New Roman"/>
          <w:sz w:val="24"/>
          <w:szCs w:val="24"/>
          <w:lang w:val="en-GB"/>
        </w:rPr>
        <w:t>Th</w:t>
      </w:r>
      <w:r w:rsidR="005B45ED">
        <w:rPr>
          <w:rFonts w:ascii="Times New Roman" w:hAnsi="Times New Roman" w:cs="Times New Roman"/>
          <w:sz w:val="24"/>
          <w:szCs w:val="24"/>
          <w:lang w:val="en-GB"/>
        </w:rPr>
        <w:t xml:space="preserve">e government </w:t>
      </w:r>
      <w:r w:rsidR="005B45ED" w:rsidRPr="005B45ED">
        <w:rPr>
          <w:rFonts w:ascii="Times New Roman" w:hAnsi="Times New Roman" w:cs="Times New Roman"/>
          <w:sz w:val="24"/>
          <w:szCs w:val="24"/>
          <w:lang w:val="en-GB"/>
        </w:rPr>
        <w:t xml:space="preserve">debt </w:t>
      </w:r>
      <w:r w:rsidR="00BB109D">
        <w:rPr>
          <w:rFonts w:ascii="Times New Roman" w:hAnsi="Times New Roman" w:cs="Times New Roman"/>
          <w:sz w:val="24"/>
          <w:szCs w:val="24"/>
          <w:lang w:val="en-GB"/>
        </w:rPr>
        <w:t>is 45.7 percent GDP in FY2014. The g</w:t>
      </w:r>
      <w:r w:rsidR="00BB109D" w:rsidRPr="00BB109D">
        <w:rPr>
          <w:rFonts w:ascii="Times New Roman" w:hAnsi="Times New Roman" w:cs="Times New Roman"/>
          <w:sz w:val="24"/>
          <w:szCs w:val="24"/>
          <w:lang w:val="en-GB"/>
        </w:rPr>
        <w:t xml:space="preserve">overnment </w:t>
      </w:r>
      <w:r w:rsidR="00BB109D">
        <w:rPr>
          <w:rFonts w:ascii="Times New Roman" w:hAnsi="Times New Roman" w:cs="Times New Roman"/>
          <w:sz w:val="24"/>
          <w:szCs w:val="24"/>
          <w:lang w:val="en-GB"/>
        </w:rPr>
        <w:t>d</w:t>
      </w:r>
      <w:r w:rsidR="00BB109D" w:rsidRPr="00BB109D">
        <w:rPr>
          <w:rFonts w:ascii="Times New Roman" w:hAnsi="Times New Roman" w:cs="Times New Roman"/>
          <w:sz w:val="24"/>
          <w:szCs w:val="24"/>
          <w:lang w:val="en-GB"/>
        </w:rPr>
        <w:t>ebt to GDP in Thailand averaged 45.4</w:t>
      </w:r>
      <w:r w:rsidR="00BB109D">
        <w:rPr>
          <w:rFonts w:ascii="Times New Roman" w:hAnsi="Times New Roman" w:cs="Times New Roman"/>
          <w:sz w:val="24"/>
          <w:szCs w:val="24"/>
          <w:lang w:val="en-GB"/>
        </w:rPr>
        <w:t xml:space="preserve"> per</w:t>
      </w:r>
      <w:r w:rsidR="00BB109D" w:rsidRPr="00BB109D">
        <w:rPr>
          <w:rFonts w:ascii="Times New Roman" w:hAnsi="Times New Roman" w:cs="Times New Roman"/>
          <w:sz w:val="24"/>
          <w:szCs w:val="24"/>
          <w:lang w:val="en-GB"/>
        </w:rPr>
        <w:t>cent from 1996 until 2013, reaching an all</w:t>
      </w:r>
      <w:r w:rsidR="00BB109D">
        <w:rPr>
          <w:rFonts w:ascii="Times New Roman" w:hAnsi="Times New Roman" w:cs="Times New Roman"/>
          <w:sz w:val="24"/>
          <w:szCs w:val="24"/>
          <w:lang w:val="en-GB"/>
        </w:rPr>
        <w:t>-</w:t>
      </w:r>
      <w:r w:rsidR="00BB109D" w:rsidRPr="00BB109D">
        <w:rPr>
          <w:rFonts w:ascii="Times New Roman" w:hAnsi="Times New Roman" w:cs="Times New Roman"/>
          <w:sz w:val="24"/>
          <w:szCs w:val="24"/>
          <w:lang w:val="en-GB"/>
        </w:rPr>
        <w:t>time high of 57.8</w:t>
      </w:r>
      <w:r w:rsidR="00BB109D">
        <w:rPr>
          <w:rFonts w:ascii="Times New Roman" w:hAnsi="Times New Roman" w:cs="Times New Roman"/>
          <w:sz w:val="24"/>
          <w:szCs w:val="24"/>
          <w:lang w:val="en-GB"/>
        </w:rPr>
        <w:t xml:space="preserve"> percent</w:t>
      </w:r>
      <w:r w:rsidR="00BB109D" w:rsidRPr="00BB109D">
        <w:rPr>
          <w:rFonts w:ascii="Times New Roman" w:hAnsi="Times New Roman" w:cs="Times New Roman"/>
          <w:sz w:val="24"/>
          <w:szCs w:val="24"/>
          <w:lang w:val="en-GB"/>
        </w:rPr>
        <w:t xml:space="preserve"> in 2000 and a record low of 15.2 percent in 1996</w:t>
      </w:r>
      <w:r w:rsidR="00BB109D">
        <w:rPr>
          <w:rFonts w:ascii="Times New Roman" w:hAnsi="Times New Roman" w:cs="Times New Roman"/>
          <w:sz w:val="24"/>
          <w:szCs w:val="24"/>
          <w:lang w:val="en-GB"/>
        </w:rPr>
        <w:t xml:space="preserve">. </w:t>
      </w:r>
      <w:r w:rsidR="00461634">
        <w:rPr>
          <w:rFonts w:ascii="Times New Roman" w:hAnsi="Times New Roman" w:cs="Times New Roman"/>
          <w:sz w:val="24"/>
          <w:szCs w:val="24"/>
          <w:lang w:val="en-GB"/>
        </w:rPr>
        <w:t>More d</w:t>
      </w:r>
      <w:r w:rsidR="00CE3FBA">
        <w:rPr>
          <w:rFonts w:ascii="Times New Roman" w:hAnsi="Times New Roman" w:cs="Times New Roman"/>
          <w:sz w:val="24"/>
          <w:szCs w:val="24"/>
          <w:lang w:val="en-GB"/>
        </w:rPr>
        <w:t>etail of the</w:t>
      </w:r>
      <w:r w:rsidR="00BB109D">
        <w:rPr>
          <w:rFonts w:ascii="Times New Roman" w:hAnsi="Times New Roman" w:cs="Times New Roman"/>
          <w:sz w:val="24"/>
          <w:szCs w:val="24"/>
          <w:lang w:val="en-GB"/>
        </w:rPr>
        <w:t>e</w:t>
      </w:r>
      <w:r w:rsidR="003B2FF6">
        <w:rPr>
          <w:rFonts w:ascii="Times New Roman" w:hAnsi="Times New Roman" w:cs="Times New Roman"/>
          <w:sz w:val="24"/>
          <w:szCs w:val="24"/>
          <w:lang w:val="en-GB"/>
        </w:rPr>
        <w:t xml:space="preserve"> </w:t>
      </w:r>
      <w:r w:rsidR="00BB109D">
        <w:rPr>
          <w:rFonts w:ascii="Times New Roman" w:hAnsi="Times New Roman" w:cs="Times New Roman"/>
          <w:sz w:val="24"/>
          <w:szCs w:val="24"/>
          <w:lang w:val="en-GB"/>
        </w:rPr>
        <w:t xml:space="preserve">government </w:t>
      </w:r>
      <w:r w:rsidR="003B2FF6">
        <w:rPr>
          <w:rFonts w:ascii="Times New Roman" w:hAnsi="Times New Roman" w:cs="Times New Roman"/>
          <w:sz w:val="24"/>
          <w:szCs w:val="24"/>
          <w:lang w:val="en-GB"/>
        </w:rPr>
        <w:t>policy changes are as follows.</w:t>
      </w:r>
    </w:p>
    <w:p w14:paraId="5D392A4F" w14:textId="77777777" w:rsidR="00E34CC7" w:rsidRDefault="00E34CC7" w:rsidP="00A321F9">
      <w:pPr>
        <w:spacing w:before="120" w:after="0" w:line="360" w:lineRule="auto"/>
        <w:ind w:firstLine="567"/>
        <w:jc w:val="thaiDistribute"/>
        <w:rPr>
          <w:rFonts w:ascii="Times New Roman" w:hAnsi="Times New Roman" w:cs="Times New Roman"/>
          <w:sz w:val="24"/>
          <w:szCs w:val="24"/>
          <w:lang w:val="en-GB"/>
        </w:rPr>
      </w:pPr>
    </w:p>
    <w:p w14:paraId="63A459BF" w14:textId="77777777" w:rsidR="003B2FF6" w:rsidRPr="007D6A73" w:rsidRDefault="003B2FF6" w:rsidP="003B2FF6">
      <w:pPr>
        <w:spacing w:before="120" w:after="0" w:line="360" w:lineRule="auto"/>
        <w:jc w:val="thaiDistribute"/>
        <w:rPr>
          <w:rFonts w:ascii="Times New Roman" w:hAnsi="Times New Roman" w:cs="Times New Roman"/>
          <w:bCs/>
          <w:iCs/>
          <w:sz w:val="24"/>
          <w:szCs w:val="24"/>
          <w:u w:val="single"/>
        </w:rPr>
      </w:pPr>
      <w:r w:rsidRPr="007D6A73">
        <w:rPr>
          <w:rFonts w:ascii="Times New Roman" w:hAnsi="Times New Roman" w:cs="Times New Roman"/>
          <w:bCs/>
          <w:iCs/>
          <w:sz w:val="24"/>
          <w:szCs w:val="24"/>
          <w:u w:val="single"/>
        </w:rPr>
        <w:t>Public Health</w:t>
      </w:r>
    </w:p>
    <w:p w14:paraId="3313E12F" w14:textId="1B6771AB" w:rsidR="0051038B" w:rsidRPr="0051038B" w:rsidRDefault="003B2FF6" w:rsidP="00564C6B">
      <w:pPr>
        <w:spacing w:before="120" w:after="0" w:line="360" w:lineRule="auto"/>
        <w:jc w:val="thaiDistribute"/>
        <w:rPr>
          <w:rFonts w:ascii="Times New Roman" w:hAnsi="Times New Roman" w:cs="Times New Roman"/>
          <w:sz w:val="24"/>
          <w:szCs w:val="24"/>
          <w:lang w:eastAsia="ko-KR"/>
        </w:rPr>
      </w:pPr>
      <w:r>
        <w:rPr>
          <w:rFonts w:ascii="Times New Roman" w:hAnsi="Times New Roman" w:cs="Times New Roman"/>
          <w:sz w:val="24"/>
          <w:szCs w:val="24"/>
        </w:rPr>
        <w:t>Prior to 1991, two-third</w:t>
      </w:r>
      <w:r w:rsidR="00564C6B">
        <w:rPr>
          <w:rFonts w:ascii="Times New Roman" w:hAnsi="Times New Roman" w:cs="Times New Roman"/>
          <w:sz w:val="24"/>
          <w:szCs w:val="24"/>
        </w:rPr>
        <w:t>s</w:t>
      </w:r>
      <w:r>
        <w:rPr>
          <w:rFonts w:ascii="Times New Roman" w:hAnsi="Times New Roman" w:cs="Times New Roman"/>
          <w:sz w:val="24"/>
          <w:szCs w:val="24"/>
        </w:rPr>
        <w:t xml:space="preserve"> of </w:t>
      </w:r>
      <w:r w:rsidR="00564C6B">
        <w:rPr>
          <w:rFonts w:ascii="Times New Roman" w:hAnsi="Times New Roman" w:cs="Times New Roman"/>
          <w:sz w:val="24"/>
          <w:szCs w:val="24"/>
        </w:rPr>
        <w:t xml:space="preserve">the </w:t>
      </w:r>
      <w:r>
        <w:rPr>
          <w:rFonts w:ascii="Times New Roman" w:hAnsi="Times New Roman" w:cs="Times New Roman"/>
          <w:sz w:val="24"/>
          <w:szCs w:val="24"/>
        </w:rPr>
        <w:t>Thai population was not covered by any health insurance program (see Figure 3). At the time, there were only two conditional health care schemes--</w:t>
      </w:r>
      <w:r w:rsidRPr="00C74224">
        <w:rPr>
          <w:rFonts w:ascii="Times New Roman" w:hAnsi="Times New Roman" w:cs="Times New Roman"/>
          <w:sz w:val="24"/>
          <w:szCs w:val="24"/>
        </w:rPr>
        <w:t xml:space="preserve"> </w:t>
      </w:r>
      <w:r w:rsidRPr="00A1192B">
        <w:rPr>
          <w:rFonts w:ascii="Times New Roman" w:hAnsi="Times New Roman" w:cs="Times New Roman"/>
          <w:sz w:val="24"/>
          <w:szCs w:val="24"/>
        </w:rPr>
        <w:t>the Civil Servants’ Medical Benefit Scheme (CSMBS)</w:t>
      </w:r>
      <w:r>
        <w:rPr>
          <w:rFonts w:ascii="Times New Roman" w:hAnsi="Times New Roman" w:cs="Times New Roman"/>
          <w:sz w:val="24"/>
          <w:szCs w:val="24"/>
        </w:rPr>
        <w:t xml:space="preserve"> and the Medical Welfare Scheme for Low-income Persons. The introduction of </w:t>
      </w:r>
      <w:r w:rsidR="00564C6B">
        <w:rPr>
          <w:rFonts w:ascii="Times New Roman" w:hAnsi="Times New Roman" w:cs="Times New Roman"/>
          <w:sz w:val="24"/>
          <w:szCs w:val="24"/>
        </w:rPr>
        <w:t xml:space="preserve">the </w:t>
      </w:r>
      <w:r>
        <w:rPr>
          <w:rFonts w:ascii="Times New Roman" w:hAnsi="Times New Roman" w:cs="Times New Roman"/>
          <w:sz w:val="24"/>
          <w:szCs w:val="24"/>
        </w:rPr>
        <w:t xml:space="preserve">Social Security Scheme (SSS) under the Social Security Act B.E.2533 (1990) </w:t>
      </w:r>
      <w:r w:rsidR="00564C6B">
        <w:rPr>
          <w:rFonts w:ascii="Times New Roman" w:hAnsi="Times New Roman" w:cs="Times New Roman"/>
          <w:sz w:val="24"/>
          <w:szCs w:val="24"/>
        </w:rPr>
        <w:t xml:space="preserve">extended </w:t>
      </w:r>
      <w:r>
        <w:rPr>
          <w:rFonts w:ascii="Times New Roman" w:hAnsi="Times New Roman" w:cs="Times New Roman"/>
          <w:sz w:val="24"/>
          <w:szCs w:val="24"/>
        </w:rPr>
        <w:t>coverage of health care insurance to those employed in firms with 20 employees or more. Then, the social security scheme was extended to cover firms with at least 10 employees. At the same time, the government also introduced</w:t>
      </w:r>
      <w:r w:rsidR="00564C6B">
        <w:rPr>
          <w:rFonts w:ascii="Times New Roman" w:hAnsi="Times New Roman" w:cs="Times New Roman"/>
          <w:sz w:val="24"/>
          <w:szCs w:val="24"/>
        </w:rPr>
        <w:t xml:space="preserve"> the</w:t>
      </w:r>
      <w:r>
        <w:rPr>
          <w:rFonts w:ascii="Times New Roman" w:hAnsi="Times New Roman" w:cs="Times New Roman"/>
          <w:sz w:val="24"/>
          <w:szCs w:val="24"/>
        </w:rPr>
        <w:t xml:space="preserve"> Health Card—a voluntary health insurance</w:t>
      </w:r>
      <w:r w:rsidR="00564C6B">
        <w:rPr>
          <w:rFonts w:ascii="Times New Roman" w:hAnsi="Times New Roman" w:cs="Times New Roman"/>
          <w:sz w:val="24"/>
          <w:szCs w:val="24"/>
        </w:rPr>
        <w:t xml:space="preserve"> program</w:t>
      </w:r>
      <w:r>
        <w:rPr>
          <w:rFonts w:ascii="Times New Roman" w:hAnsi="Times New Roman" w:cs="Times New Roman"/>
          <w:sz w:val="24"/>
          <w:szCs w:val="24"/>
        </w:rPr>
        <w:t xml:space="preserve"> </w:t>
      </w:r>
      <w:r w:rsidR="00564C6B">
        <w:rPr>
          <w:rFonts w:ascii="Times New Roman" w:hAnsi="Times New Roman" w:cs="Times New Roman"/>
          <w:sz w:val="24"/>
          <w:szCs w:val="24"/>
        </w:rPr>
        <w:t xml:space="preserve">partially subsidized by the </w:t>
      </w:r>
      <w:r>
        <w:rPr>
          <w:rFonts w:ascii="Times New Roman" w:hAnsi="Times New Roman" w:cs="Times New Roman"/>
          <w:sz w:val="24"/>
          <w:szCs w:val="24"/>
        </w:rPr>
        <w:t>government</w:t>
      </w:r>
      <w:r w:rsidR="00564C6B">
        <w:rPr>
          <w:rFonts w:ascii="Times New Roman" w:hAnsi="Times New Roman" w:cs="Times New Roman"/>
          <w:sz w:val="24"/>
          <w:szCs w:val="24"/>
        </w:rPr>
        <w:t>.</w:t>
      </w:r>
      <w:r>
        <w:rPr>
          <w:rFonts w:ascii="Times New Roman" w:hAnsi="Times New Roman" w:cs="Times New Roman"/>
          <w:sz w:val="24"/>
          <w:szCs w:val="24"/>
        </w:rPr>
        <w:t xml:space="preserve"> In 1994, the Medical Welfare Scheme for Low-income Persons </w:t>
      </w:r>
      <w:r w:rsidR="00564C6B">
        <w:rPr>
          <w:rFonts w:ascii="Times New Roman" w:hAnsi="Times New Roman" w:cs="Times New Roman"/>
          <w:sz w:val="24"/>
          <w:szCs w:val="24"/>
        </w:rPr>
        <w:t xml:space="preserve">was </w:t>
      </w:r>
      <w:r>
        <w:rPr>
          <w:rFonts w:ascii="Times New Roman" w:hAnsi="Times New Roman" w:cs="Times New Roman"/>
          <w:sz w:val="24"/>
          <w:szCs w:val="24"/>
        </w:rPr>
        <w:t>expanded to include elderly, children, disable</w:t>
      </w:r>
      <w:r w:rsidR="00C34CAF">
        <w:rPr>
          <w:rFonts w:ascii="Times New Roman" w:hAnsi="Times New Roman" w:cs="Times New Roman"/>
          <w:sz w:val="24"/>
          <w:szCs w:val="24"/>
        </w:rPr>
        <w:t>d</w:t>
      </w:r>
      <w:r>
        <w:rPr>
          <w:rFonts w:ascii="Times New Roman" w:hAnsi="Times New Roman" w:cs="Times New Roman"/>
          <w:sz w:val="24"/>
          <w:szCs w:val="24"/>
        </w:rPr>
        <w:t xml:space="preserve">, monks and veterans. Accordingly, in 1996, 28 percent of population was covered by the Health Card and the Medical Welfare Scheme for </w:t>
      </w:r>
      <w:r w:rsidR="00C34CAF">
        <w:rPr>
          <w:rFonts w:ascii="Times New Roman" w:hAnsi="Times New Roman" w:cs="Times New Roman"/>
          <w:sz w:val="24"/>
          <w:szCs w:val="24"/>
        </w:rPr>
        <w:t>l</w:t>
      </w:r>
      <w:r>
        <w:rPr>
          <w:rFonts w:ascii="Times New Roman" w:hAnsi="Times New Roman" w:cs="Times New Roman"/>
          <w:sz w:val="24"/>
          <w:szCs w:val="24"/>
        </w:rPr>
        <w:t xml:space="preserve">ow-income </w:t>
      </w:r>
      <w:r w:rsidR="00C34CAF">
        <w:rPr>
          <w:rFonts w:ascii="Times New Roman" w:hAnsi="Times New Roman" w:cs="Times New Roman"/>
          <w:sz w:val="24"/>
          <w:szCs w:val="24"/>
        </w:rPr>
        <w:t>p</w:t>
      </w:r>
      <w:r>
        <w:rPr>
          <w:rFonts w:ascii="Times New Roman" w:hAnsi="Times New Roman" w:cs="Times New Roman"/>
          <w:sz w:val="24"/>
          <w:szCs w:val="24"/>
        </w:rPr>
        <w:t xml:space="preserve">ersons. Despite these attempts to expand the coverage of health benefit, in 2001, there were still 18 million persons—one-third of the population—not covered by any health benefit scheme. </w:t>
      </w:r>
    </w:p>
    <w:p w14:paraId="1CB29806" w14:textId="77777777" w:rsidR="008B3D27" w:rsidRPr="003B280D" w:rsidRDefault="008B3D27" w:rsidP="008B3D27">
      <w:pPr>
        <w:spacing w:before="120" w:after="0" w:line="360" w:lineRule="auto"/>
        <w:jc w:val="thaiDistribute"/>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243"/>
      </w:tblGrid>
      <w:tr w:rsidR="008B3D27" w:rsidRPr="003B280D" w14:paraId="42E6D608" w14:textId="77777777" w:rsidTr="00AD5A13">
        <w:tc>
          <w:tcPr>
            <w:tcW w:w="9243" w:type="dxa"/>
            <w:tcBorders>
              <w:bottom w:val="single" w:sz="4" w:space="0" w:color="auto"/>
            </w:tcBorders>
          </w:tcPr>
          <w:p w14:paraId="0A7EF0C1" w14:textId="77777777" w:rsidR="008B3D27" w:rsidRPr="003B280D" w:rsidRDefault="00C92E09" w:rsidP="00DA30E0">
            <w:pPr>
              <w:spacing w:before="120" w:line="360" w:lineRule="auto"/>
              <w:jc w:val="center"/>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14:anchorId="348AFBC4" wp14:editId="52E96BA4">
                  <wp:extent cx="5495026" cy="2536166"/>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8B3D27" w14:paraId="3FF532FD" w14:textId="77777777" w:rsidTr="00AD5A13">
        <w:tc>
          <w:tcPr>
            <w:tcW w:w="9243" w:type="dxa"/>
            <w:tcBorders>
              <w:top w:val="single" w:sz="4" w:space="0" w:color="auto"/>
              <w:left w:val="nil"/>
              <w:bottom w:val="nil"/>
              <w:right w:val="nil"/>
            </w:tcBorders>
          </w:tcPr>
          <w:p w14:paraId="2CADDA68" w14:textId="77777777" w:rsidR="0051038B" w:rsidRPr="0051038B" w:rsidRDefault="0051038B" w:rsidP="0051038B">
            <w:pPr>
              <w:spacing w:before="120" w:line="360" w:lineRule="auto"/>
              <w:jc w:val="thaiDistribute"/>
              <w:rPr>
                <w:rFonts w:ascii="Times New Roman" w:hAnsi="Times New Roman" w:cs="Times New Roman"/>
                <w:sz w:val="24"/>
                <w:szCs w:val="24"/>
                <w:lang w:eastAsia="ko-KR"/>
              </w:rPr>
            </w:pPr>
            <w:r w:rsidRPr="0051038B">
              <w:rPr>
                <w:rFonts w:ascii="Times New Roman" w:hAnsi="Times New Roman" w:cs="Times New Roman"/>
                <w:sz w:val="24"/>
                <w:szCs w:val="24"/>
              </w:rPr>
              <w:t>Figure 3 Shares of Population with Health Benefit Schemes in Thailand, 1991-2009</w:t>
            </w:r>
          </w:p>
          <w:p w14:paraId="24A09808" w14:textId="77777777" w:rsidR="008B3D27" w:rsidRDefault="0051038B" w:rsidP="0051038B">
            <w:pPr>
              <w:spacing w:before="120" w:line="360" w:lineRule="auto"/>
              <w:jc w:val="thaiDistribute"/>
              <w:rPr>
                <w:rFonts w:ascii="Times New Roman" w:hAnsi="Times New Roman" w:cs="Times New Roman"/>
                <w:sz w:val="24"/>
                <w:szCs w:val="24"/>
              </w:rPr>
            </w:pPr>
            <w:r w:rsidRPr="0051038B">
              <w:rPr>
                <w:rFonts w:ascii="Times New Roman" w:hAnsi="Times New Roman" w:cs="Times New Roman" w:hint="eastAsia"/>
                <w:sz w:val="24"/>
                <w:szCs w:val="24"/>
                <w:lang w:eastAsia="ko-KR"/>
              </w:rPr>
              <w:t>Source</w:t>
            </w:r>
            <w:r w:rsidR="008B3D27" w:rsidRPr="0051038B">
              <w:rPr>
                <w:rFonts w:ascii="Times New Roman" w:hAnsi="Times New Roman" w:cs="Times New Roman"/>
                <w:sz w:val="24"/>
                <w:szCs w:val="24"/>
              </w:rPr>
              <w:t>: NHSO (20</w:t>
            </w:r>
            <w:r w:rsidR="00291E40" w:rsidRPr="0051038B">
              <w:rPr>
                <w:rFonts w:ascii="Times New Roman" w:hAnsi="Times New Roman" w:cs="Times New Roman"/>
                <w:sz w:val="24"/>
                <w:szCs w:val="24"/>
              </w:rPr>
              <w:t>12</w:t>
            </w:r>
            <w:r w:rsidR="008B3D27" w:rsidRPr="0051038B">
              <w:rPr>
                <w:rFonts w:ascii="Times New Roman" w:hAnsi="Times New Roman" w:cs="Times New Roman"/>
                <w:sz w:val="24"/>
                <w:szCs w:val="24"/>
              </w:rPr>
              <w:t>: 29)</w:t>
            </w:r>
            <w:r w:rsidR="008B3D27">
              <w:rPr>
                <w:rFonts w:ascii="Times New Roman" w:hAnsi="Times New Roman" w:cs="Times New Roman"/>
                <w:sz w:val="20"/>
                <w:szCs w:val="20"/>
              </w:rPr>
              <w:t xml:space="preserve">  </w:t>
            </w:r>
          </w:p>
        </w:tc>
      </w:tr>
    </w:tbl>
    <w:p w14:paraId="3CB1E3B6" w14:textId="77777777" w:rsidR="005D66F3" w:rsidRDefault="005D66F3" w:rsidP="008B3D27">
      <w:pPr>
        <w:spacing w:before="120" w:after="0" w:line="360" w:lineRule="auto"/>
        <w:ind w:firstLine="567"/>
        <w:jc w:val="thaiDistribute"/>
        <w:rPr>
          <w:rFonts w:ascii="Times New Roman" w:hAnsi="Times New Roman" w:cs="Times New Roman"/>
          <w:sz w:val="24"/>
          <w:szCs w:val="24"/>
          <w:lang w:eastAsia="ko-KR"/>
        </w:rPr>
      </w:pPr>
    </w:p>
    <w:p w14:paraId="0F7981C1" w14:textId="77777777" w:rsidR="00A1192B" w:rsidRPr="00A1192B" w:rsidRDefault="00D64FDE" w:rsidP="008B3D27">
      <w:pPr>
        <w:spacing w:before="120" w:after="0" w:line="360" w:lineRule="auto"/>
        <w:ind w:firstLine="567"/>
        <w:jc w:val="thaiDistribute"/>
        <w:rPr>
          <w:rFonts w:ascii="Times New Roman" w:hAnsi="Times New Roman" w:cs="Times New Roman"/>
          <w:sz w:val="24"/>
          <w:szCs w:val="24"/>
        </w:rPr>
      </w:pPr>
      <w:r>
        <w:rPr>
          <w:rFonts w:ascii="Times New Roman" w:hAnsi="Times New Roman" w:cs="Times New Roman"/>
          <w:sz w:val="24"/>
          <w:szCs w:val="24"/>
        </w:rPr>
        <w:t xml:space="preserve">In </w:t>
      </w:r>
      <w:r w:rsidR="008B3D27">
        <w:rPr>
          <w:rFonts w:ascii="Times New Roman" w:hAnsi="Times New Roman" w:cs="Times New Roman"/>
          <w:sz w:val="24"/>
          <w:szCs w:val="24"/>
        </w:rPr>
        <w:t>April 2001</w:t>
      </w:r>
      <w:r>
        <w:rPr>
          <w:rFonts w:ascii="Times New Roman" w:hAnsi="Times New Roman" w:cs="Times New Roman"/>
          <w:sz w:val="24"/>
          <w:szCs w:val="24"/>
        </w:rPr>
        <w:t xml:space="preserve">, the government </w:t>
      </w:r>
      <w:r w:rsidR="008B3D27">
        <w:rPr>
          <w:rFonts w:ascii="Times New Roman" w:hAnsi="Times New Roman" w:cs="Times New Roman"/>
          <w:sz w:val="24"/>
          <w:szCs w:val="24"/>
        </w:rPr>
        <w:t>implemented the Universal Health Coverage Scheme (UC)</w:t>
      </w:r>
      <w:r>
        <w:rPr>
          <w:rFonts w:ascii="Times New Roman" w:hAnsi="Times New Roman" w:cs="Times New Roman"/>
          <w:sz w:val="24"/>
          <w:szCs w:val="24"/>
        </w:rPr>
        <w:t xml:space="preserve">, providing health care coverage for all </w:t>
      </w:r>
      <w:r w:rsidR="008B3D27">
        <w:rPr>
          <w:rFonts w:ascii="Times New Roman" w:hAnsi="Times New Roman" w:cs="Times New Roman"/>
          <w:sz w:val="24"/>
          <w:szCs w:val="24"/>
        </w:rPr>
        <w:t xml:space="preserve">people who </w:t>
      </w:r>
      <w:r w:rsidR="00C34CAF">
        <w:rPr>
          <w:rFonts w:ascii="Times New Roman" w:hAnsi="Times New Roman" w:cs="Times New Roman"/>
          <w:sz w:val="24"/>
          <w:szCs w:val="24"/>
        </w:rPr>
        <w:t>we</w:t>
      </w:r>
      <w:r w:rsidR="008B3D27">
        <w:rPr>
          <w:rFonts w:ascii="Times New Roman" w:hAnsi="Times New Roman" w:cs="Times New Roman"/>
          <w:sz w:val="24"/>
          <w:szCs w:val="24"/>
        </w:rPr>
        <w:t>re</w:t>
      </w:r>
      <w:r>
        <w:rPr>
          <w:rFonts w:ascii="Times New Roman" w:hAnsi="Times New Roman" w:cs="Times New Roman"/>
          <w:sz w:val="24"/>
          <w:szCs w:val="24"/>
        </w:rPr>
        <w:t xml:space="preserve"> not covered by CSMBS and SSS. </w:t>
      </w:r>
      <w:r w:rsidR="008B3D27">
        <w:rPr>
          <w:rFonts w:ascii="Times New Roman" w:hAnsi="Times New Roman" w:cs="Times New Roman"/>
          <w:sz w:val="24"/>
          <w:szCs w:val="24"/>
        </w:rPr>
        <w:t xml:space="preserve">It was afterwards </w:t>
      </w:r>
      <w:r w:rsidR="008B3D27" w:rsidRPr="00A1192B">
        <w:rPr>
          <w:rFonts w:ascii="Times New Roman" w:hAnsi="Times New Roman" w:cs="Times New Roman"/>
          <w:sz w:val="24"/>
          <w:szCs w:val="24"/>
        </w:rPr>
        <w:t xml:space="preserve">expanded to full coverage in April 2002 with the objectives to provide “universal coverage”, </w:t>
      </w:r>
      <w:r w:rsidR="00C34CAF">
        <w:rPr>
          <w:rFonts w:ascii="Times New Roman" w:hAnsi="Times New Roman" w:cs="Times New Roman"/>
          <w:sz w:val="24"/>
          <w:szCs w:val="24"/>
        </w:rPr>
        <w:t xml:space="preserve">using a </w:t>
      </w:r>
      <w:r w:rsidR="008B3D27" w:rsidRPr="00A1192B">
        <w:rPr>
          <w:rFonts w:ascii="Times New Roman" w:hAnsi="Times New Roman" w:cs="Times New Roman"/>
          <w:sz w:val="24"/>
          <w:szCs w:val="24"/>
        </w:rPr>
        <w:t xml:space="preserve">“single standard” and </w:t>
      </w:r>
      <w:r w:rsidR="00C34CAF">
        <w:rPr>
          <w:rFonts w:ascii="Times New Roman" w:hAnsi="Times New Roman" w:cs="Times New Roman"/>
          <w:sz w:val="24"/>
          <w:szCs w:val="24"/>
        </w:rPr>
        <w:t xml:space="preserve">a </w:t>
      </w:r>
      <w:r w:rsidR="008B3D27" w:rsidRPr="00A1192B">
        <w:rPr>
          <w:rFonts w:ascii="Times New Roman" w:hAnsi="Times New Roman" w:cs="Times New Roman"/>
          <w:sz w:val="24"/>
          <w:szCs w:val="24"/>
        </w:rPr>
        <w:t>“sustainable system.”</w:t>
      </w:r>
      <w:r w:rsidR="008B3D27">
        <w:rPr>
          <w:rFonts w:ascii="Times New Roman" w:hAnsi="Times New Roman" w:cs="Times New Roman"/>
          <w:sz w:val="24"/>
          <w:szCs w:val="24"/>
        </w:rPr>
        <w:t xml:space="preserve"> At the same time, the Social Security also extended its coverage to include firms with at least 1 employee. From th</w:t>
      </w:r>
      <w:r w:rsidR="00C34CAF">
        <w:rPr>
          <w:rFonts w:ascii="Times New Roman" w:hAnsi="Times New Roman" w:cs="Times New Roman"/>
          <w:sz w:val="24"/>
          <w:szCs w:val="24"/>
        </w:rPr>
        <w:t>at point forward</w:t>
      </w:r>
      <w:r w:rsidR="008B3D27">
        <w:rPr>
          <w:rFonts w:ascii="Times New Roman" w:hAnsi="Times New Roman" w:cs="Times New Roman"/>
          <w:sz w:val="24"/>
          <w:szCs w:val="24"/>
        </w:rPr>
        <w:t xml:space="preserve">, there </w:t>
      </w:r>
      <w:r w:rsidR="00C34CAF">
        <w:rPr>
          <w:rFonts w:ascii="Times New Roman" w:hAnsi="Times New Roman" w:cs="Times New Roman"/>
          <w:sz w:val="24"/>
          <w:szCs w:val="24"/>
        </w:rPr>
        <w:t>we</w:t>
      </w:r>
      <w:r w:rsidR="008B3D27">
        <w:rPr>
          <w:rFonts w:ascii="Times New Roman" w:hAnsi="Times New Roman" w:cs="Times New Roman"/>
          <w:sz w:val="24"/>
          <w:szCs w:val="24"/>
        </w:rPr>
        <w:t>re</w:t>
      </w:r>
      <w:r w:rsidR="00A1192B" w:rsidRPr="00A1192B">
        <w:rPr>
          <w:rFonts w:ascii="Times New Roman" w:hAnsi="Times New Roman" w:cs="Times New Roman"/>
          <w:sz w:val="24"/>
          <w:szCs w:val="24"/>
        </w:rPr>
        <w:t xml:space="preserve"> three major health </w:t>
      </w:r>
      <w:r w:rsidR="008B3D27">
        <w:rPr>
          <w:rFonts w:ascii="Times New Roman" w:hAnsi="Times New Roman" w:cs="Times New Roman"/>
          <w:sz w:val="24"/>
          <w:szCs w:val="24"/>
        </w:rPr>
        <w:t>benefit schemes in Thailand—</w:t>
      </w:r>
      <w:r w:rsidR="00A1192B" w:rsidRPr="00A1192B">
        <w:rPr>
          <w:rFonts w:ascii="Times New Roman" w:hAnsi="Times New Roman" w:cs="Times New Roman"/>
          <w:sz w:val="24"/>
          <w:szCs w:val="24"/>
        </w:rPr>
        <w:t>the Civil Servants’ Medical Benefit Scheme (CSMBS), the Social Security Health Insurance Scheme (SSS) an</w:t>
      </w:r>
      <w:r>
        <w:rPr>
          <w:rFonts w:ascii="Times New Roman" w:hAnsi="Times New Roman" w:cs="Times New Roman"/>
          <w:sz w:val="24"/>
          <w:szCs w:val="24"/>
        </w:rPr>
        <w:t>d the Universal Health</w:t>
      </w:r>
      <w:r w:rsidR="00A1192B" w:rsidRPr="00A1192B">
        <w:rPr>
          <w:rFonts w:ascii="Times New Roman" w:hAnsi="Times New Roman" w:cs="Times New Roman"/>
          <w:sz w:val="24"/>
          <w:szCs w:val="24"/>
        </w:rPr>
        <w:t xml:space="preserve"> Coverage Scheme</w:t>
      </w:r>
      <w:r w:rsidR="007A3A62">
        <w:rPr>
          <w:rFonts w:ascii="Times New Roman" w:hAnsi="Times New Roman" w:cs="Times New Roman"/>
          <w:sz w:val="24"/>
          <w:szCs w:val="24"/>
        </w:rPr>
        <w:t xml:space="preserve"> (UC</w:t>
      </w:r>
      <w:r w:rsidR="00A1192B" w:rsidRPr="00A1192B">
        <w:rPr>
          <w:rFonts w:ascii="Times New Roman" w:hAnsi="Times New Roman" w:cs="Times New Roman"/>
          <w:sz w:val="24"/>
          <w:szCs w:val="24"/>
        </w:rPr>
        <w:t>). In 2002,</w:t>
      </w:r>
      <w:r w:rsidR="008B3D27">
        <w:rPr>
          <w:rFonts w:ascii="Times New Roman" w:hAnsi="Times New Roman" w:cs="Times New Roman"/>
          <w:sz w:val="24"/>
          <w:szCs w:val="24"/>
        </w:rPr>
        <w:t xml:space="preserve"> the UC</w:t>
      </w:r>
      <w:r w:rsidR="00A1192B" w:rsidRPr="00A1192B">
        <w:rPr>
          <w:rFonts w:ascii="Times New Roman" w:hAnsi="Times New Roman" w:cs="Times New Roman"/>
          <w:sz w:val="24"/>
          <w:szCs w:val="24"/>
        </w:rPr>
        <w:t xml:space="preserve"> cover</w:t>
      </w:r>
      <w:r w:rsidR="00C34CAF">
        <w:rPr>
          <w:rFonts w:ascii="Times New Roman" w:hAnsi="Times New Roman" w:cs="Times New Roman"/>
          <w:sz w:val="24"/>
          <w:szCs w:val="24"/>
        </w:rPr>
        <w:t>ed</w:t>
      </w:r>
      <w:r w:rsidR="00A1192B" w:rsidRPr="00A1192B">
        <w:rPr>
          <w:rFonts w:ascii="Times New Roman" w:hAnsi="Times New Roman" w:cs="Times New Roman"/>
          <w:sz w:val="24"/>
          <w:szCs w:val="24"/>
        </w:rPr>
        <w:t xml:space="preserve"> 45 million people with capitation of 1,202 </w:t>
      </w:r>
      <w:r w:rsidR="007A3A62">
        <w:rPr>
          <w:rFonts w:ascii="Times New Roman" w:hAnsi="Times New Roman" w:cs="Times New Roman"/>
          <w:sz w:val="24"/>
          <w:szCs w:val="24"/>
        </w:rPr>
        <w:t>B</w:t>
      </w:r>
      <w:r w:rsidR="00A1192B" w:rsidRPr="00A1192B">
        <w:rPr>
          <w:rFonts w:ascii="Times New Roman" w:hAnsi="Times New Roman" w:cs="Times New Roman"/>
          <w:sz w:val="24"/>
          <w:szCs w:val="24"/>
        </w:rPr>
        <w:t xml:space="preserve">aht per person. </w:t>
      </w:r>
    </w:p>
    <w:p w14:paraId="43738B46" w14:textId="77777777" w:rsidR="00A1192B" w:rsidRPr="00A1192B" w:rsidRDefault="00AD5A13" w:rsidP="00A1192B">
      <w:pPr>
        <w:spacing w:before="120" w:after="0" w:line="360" w:lineRule="auto"/>
        <w:ind w:firstLine="567"/>
        <w:jc w:val="thaiDistribute"/>
        <w:rPr>
          <w:rFonts w:ascii="Times New Roman" w:hAnsi="Times New Roman" w:cs="Times New Roman"/>
          <w:sz w:val="24"/>
          <w:szCs w:val="24"/>
        </w:rPr>
      </w:pPr>
      <w:r>
        <w:rPr>
          <w:rFonts w:ascii="Times New Roman" w:hAnsi="Times New Roman" w:cs="Times New Roman"/>
          <w:sz w:val="24"/>
          <w:szCs w:val="24"/>
        </w:rPr>
        <w:t xml:space="preserve">Along with expanding provision of health care benefits by the government, </w:t>
      </w:r>
      <w:r w:rsidR="00A1192B" w:rsidRPr="00A1192B">
        <w:rPr>
          <w:rFonts w:ascii="Times New Roman" w:hAnsi="Times New Roman" w:cs="Times New Roman"/>
          <w:sz w:val="24"/>
          <w:szCs w:val="24"/>
        </w:rPr>
        <w:t xml:space="preserve">total health expenditure in Thailand has increased gradually, </w:t>
      </w:r>
      <w:r w:rsidR="000819A1">
        <w:rPr>
          <w:rFonts w:ascii="Times New Roman" w:hAnsi="Times New Roman" w:cs="Times New Roman"/>
          <w:sz w:val="24"/>
          <w:szCs w:val="24"/>
        </w:rPr>
        <w:t xml:space="preserve">but </w:t>
      </w:r>
      <w:r w:rsidR="00A1192B" w:rsidRPr="00A1192B">
        <w:rPr>
          <w:rFonts w:ascii="Times New Roman" w:hAnsi="Times New Roman" w:cs="Times New Roman"/>
          <w:sz w:val="24"/>
          <w:szCs w:val="24"/>
        </w:rPr>
        <w:t>at a rate fa</w:t>
      </w:r>
      <w:r w:rsidR="00A1192B" w:rsidRPr="002E42BE">
        <w:rPr>
          <w:rFonts w:ascii="Times New Roman" w:hAnsi="Times New Roman" w:cs="Times New Roman"/>
          <w:sz w:val="24"/>
          <w:szCs w:val="24"/>
        </w:rPr>
        <w:t xml:space="preserve">ster than that of the GDP. Per capita total health expenditure increased </w:t>
      </w:r>
      <w:r w:rsidR="002E42BE" w:rsidRPr="002E42BE">
        <w:rPr>
          <w:rFonts w:ascii="Times New Roman" w:hAnsi="Times New Roman" w:cs="Times New Roman"/>
          <w:sz w:val="24"/>
          <w:szCs w:val="24"/>
        </w:rPr>
        <w:t>almost three</w:t>
      </w:r>
      <w:r w:rsidR="00C34CAF">
        <w:rPr>
          <w:rFonts w:ascii="Times New Roman" w:hAnsi="Times New Roman" w:cs="Times New Roman"/>
          <w:sz w:val="24"/>
          <w:szCs w:val="24"/>
        </w:rPr>
        <w:t>-</w:t>
      </w:r>
      <w:r w:rsidR="002E42BE" w:rsidRPr="002E42BE">
        <w:rPr>
          <w:rFonts w:ascii="Times New Roman" w:hAnsi="Times New Roman" w:cs="Times New Roman"/>
          <w:sz w:val="24"/>
          <w:szCs w:val="24"/>
        </w:rPr>
        <w:t xml:space="preserve">fold </w:t>
      </w:r>
      <w:r w:rsidR="00A1192B" w:rsidRPr="002E42BE">
        <w:rPr>
          <w:rFonts w:ascii="Times New Roman" w:hAnsi="Times New Roman" w:cs="Times New Roman"/>
          <w:sz w:val="24"/>
          <w:szCs w:val="24"/>
        </w:rPr>
        <w:t xml:space="preserve">from </w:t>
      </w:r>
      <w:r w:rsidR="002E42BE" w:rsidRPr="002E42BE">
        <w:rPr>
          <w:rFonts w:ascii="Times New Roman" w:hAnsi="Times New Roman" w:cs="Times New Roman"/>
          <w:sz w:val="24"/>
          <w:szCs w:val="24"/>
        </w:rPr>
        <w:t>2,106 Baht</w:t>
      </w:r>
      <w:r w:rsidR="00A1192B" w:rsidRPr="002E42BE">
        <w:rPr>
          <w:rFonts w:ascii="Times New Roman" w:hAnsi="Times New Roman" w:cs="Times New Roman"/>
          <w:sz w:val="24"/>
          <w:szCs w:val="24"/>
        </w:rPr>
        <w:t xml:space="preserve"> in </w:t>
      </w:r>
      <w:r w:rsidR="002E42BE" w:rsidRPr="002E42BE">
        <w:rPr>
          <w:rFonts w:ascii="Times New Roman" w:hAnsi="Times New Roman" w:cs="Times New Roman"/>
          <w:sz w:val="24"/>
          <w:szCs w:val="24"/>
        </w:rPr>
        <w:t>1994</w:t>
      </w:r>
      <w:r w:rsidR="00A1192B" w:rsidRPr="002E42BE">
        <w:rPr>
          <w:rFonts w:ascii="Times New Roman" w:hAnsi="Times New Roman" w:cs="Times New Roman"/>
          <w:sz w:val="24"/>
          <w:szCs w:val="24"/>
        </w:rPr>
        <w:t xml:space="preserve"> to </w:t>
      </w:r>
      <w:r w:rsidR="002E42BE" w:rsidRPr="002E42BE">
        <w:rPr>
          <w:rFonts w:ascii="Times New Roman" w:hAnsi="Times New Roman" w:cs="Times New Roman"/>
          <w:sz w:val="24"/>
          <w:szCs w:val="24"/>
        </w:rPr>
        <w:t>6,142 Baht</w:t>
      </w:r>
      <w:r w:rsidR="00A1192B" w:rsidRPr="002E42BE">
        <w:rPr>
          <w:rFonts w:ascii="Times New Roman" w:hAnsi="Times New Roman" w:cs="Times New Roman"/>
          <w:sz w:val="24"/>
          <w:szCs w:val="24"/>
        </w:rPr>
        <w:t xml:space="preserve"> in 20</w:t>
      </w:r>
      <w:r w:rsidR="002E42BE" w:rsidRPr="002E42BE">
        <w:rPr>
          <w:rFonts w:ascii="Times New Roman" w:hAnsi="Times New Roman" w:cs="Times New Roman"/>
          <w:sz w:val="24"/>
          <w:szCs w:val="24"/>
        </w:rPr>
        <w:t>10</w:t>
      </w:r>
      <w:r w:rsidR="00A1192B" w:rsidRPr="002E42BE">
        <w:rPr>
          <w:rFonts w:ascii="Times New Roman" w:hAnsi="Times New Roman" w:cs="Times New Roman"/>
          <w:sz w:val="24"/>
          <w:szCs w:val="24"/>
        </w:rPr>
        <w:t xml:space="preserve">. The </w:t>
      </w:r>
      <w:r w:rsidR="002E42BE" w:rsidRPr="002E42BE">
        <w:rPr>
          <w:rFonts w:ascii="Times New Roman" w:hAnsi="Times New Roman" w:cs="Times New Roman"/>
          <w:sz w:val="24"/>
          <w:szCs w:val="24"/>
        </w:rPr>
        <w:t xml:space="preserve">total </w:t>
      </w:r>
      <w:r w:rsidR="00A1192B" w:rsidRPr="002E42BE">
        <w:rPr>
          <w:rFonts w:ascii="Times New Roman" w:hAnsi="Times New Roman" w:cs="Times New Roman"/>
          <w:sz w:val="24"/>
          <w:szCs w:val="24"/>
        </w:rPr>
        <w:t>government expenditure on health also increased</w:t>
      </w:r>
      <w:r w:rsidR="002E42BE" w:rsidRPr="002E42BE">
        <w:rPr>
          <w:rFonts w:ascii="Times New Roman" w:hAnsi="Times New Roman" w:cs="Times New Roman"/>
          <w:sz w:val="24"/>
          <w:szCs w:val="24"/>
        </w:rPr>
        <w:t xml:space="preserve"> markedly</w:t>
      </w:r>
      <w:r w:rsidR="00A1192B" w:rsidRPr="002E42BE">
        <w:rPr>
          <w:rFonts w:ascii="Times New Roman" w:hAnsi="Times New Roman" w:cs="Times New Roman"/>
          <w:sz w:val="24"/>
          <w:szCs w:val="24"/>
        </w:rPr>
        <w:t xml:space="preserve"> from </w:t>
      </w:r>
      <w:r w:rsidR="002E42BE" w:rsidRPr="002E42BE">
        <w:rPr>
          <w:rFonts w:ascii="Times New Roman" w:hAnsi="Times New Roman" w:cs="Times New Roman"/>
          <w:sz w:val="24"/>
          <w:szCs w:val="24"/>
        </w:rPr>
        <w:t>56,885 million Baht</w:t>
      </w:r>
      <w:r w:rsidR="00A1192B" w:rsidRPr="002E42BE">
        <w:rPr>
          <w:rFonts w:ascii="Times New Roman" w:hAnsi="Times New Roman" w:cs="Times New Roman"/>
          <w:sz w:val="24"/>
          <w:szCs w:val="24"/>
        </w:rPr>
        <w:t xml:space="preserve"> in </w:t>
      </w:r>
      <w:r w:rsidR="002E42BE" w:rsidRPr="002E42BE">
        <w:rPr>
          <w:rFonts w:ascii="Times New Roman" w:hAnsi="Times New Roman" w:cs="Times New Roman"/>
          <w:sz w:val="24"/>
          <w:szCs w:val="24"/>
        </w:rPr>
        <w:t>1994</w:t>
      </w:r>
      <w:r w:rsidR="00A1192B" w:rsidRPr="002E42BE">
        <w:rPr>
          <w:rFonts w:ascii="Times New Roman" w:hAnsi="Times New Roman" w:cs="Times New Roman"/>
          <w:sz w:val="24"/>
          <w:szCs w:val="24"/>
        </w:rPr>
        <w:t xml:space="preserve"> to </w:t>
      </w:r>
      <w:r w:rsidR="002E42BE" w:rsidRPr="002E42BE">
        <w:rPr>
          <w:rFonts w:ascii="Times New Roman" w:hAnsi="Times New Roman" w:cs="Times New Roman"/>
          <w:sz w:val="24"/>
          <w:szCs w:val="24"/>
        </w:rPr>
        <w:t>293,378 million Baht</w:t>
      </w:r>
      <w:r w:rsidR="00A1192B" w:rsidRPr="002E42BE">
        <w:rPr>
          <w:rFonts w:ascii="Times New Roman" w:hAnsi="Times New Roman" w:cs="Times New Roman"/>
          <w:sz w:val="24"/>
          <w:szCs w:val="24"/>
        </w:rPr>
        <w:t xml:space="preserve"> in 20</w:t>
      </w:r>
      <w:r w:rsidR="002E42BE" w:rsidRPr="002E42BE">
        <w:rPr>
          <w:rFonts w:ascii="Times New Roman" w:hAnsi="Times New Roman" w:cs="Times New Roman"/>
          <w:sz w:val="24"/>
          <w:szCs w:val="24"/>
        </w:rPr>
        <w:t>10</w:t>
      </w:r>
      <w:r w:rsidR="00A1192B" w:rsidRPr="00326B49">
        <w:rPr>
          <w:rFonts w:ascii="Times New Roman" w:hAnsi="Times New Roman" w:cs="Times New Roman"/>
          <w:sz w:val="24"/>
          <w:szCs w:val="24"/>
        </w:rPr>
        <w:t>. In 2007, total health expenditure was 3.5</w:t>
      </w:r>
      <w:r w:rsidR="002E42BE">
        <w:rPr>
          <w:rFonts w:ascii="Times New Roman" w:hAnsi="Times New Roman" w:cs="Times New Roman"/>
          <w:sz w:val="24"/>
          <w:szCs w:val="24"/>
        </w:rPr>
        <w:t xml:space="preserve"> percent</w:t>
      </w:r>
      <w:r w:rsidR="00A1192B" w:rsidRPr="00326B49">
        <w:rPr>
          <w:rFonts w:ascii="Times New Roman" w:hAnsi="Times New Roman" w:cs="Times New Roman"/>
          <w:sz w:val="24"/>
          <w:szCs w:val="24"/>
        </w:rPr>
        <w:t xml:space="preserve"> of the GDP, with 64.4</w:t>
      </w:r>
      <w:r w:rsidR="002E42BE">
        <w:rPr>
          <w:rFonts w:ascii="Times New Roman" w:hAnsi="Times New Roman" w:cs="Times New Roman"/>
          <w:sz w:val="24"/>
          <w:szCs w:val="24"/>
        </w:rPr>
        <w:t xml:space="preserve"> percent</w:t>
      </w:r>
      <w:r w:rsidR="00A1192B" w:rsidRPr="00326B49">
        <w:rPr>
          <w:rFonts w:ascii="Times New Roman" w:hAnsi="Times New Roman" w:cs="Times New Roman"/>
          <w:sz w:val="24"/>
          <w:szCs w:val="24"/>
        </w:rPr>
        <w:t xml:space="preserve"> contribution from the public sector and 35.6</w:t>
      </w:r>
      <w:r w:rsidR="002E42BE">
        <w:rPr>
          <w:rFonts w:ascii="Times New Roman" w:hAnsi="Times New Roman" w:cs="Times New Roman"/>
          <w:sz w:val="24"/>
          <w:szCs w:val="24"/>
        </w:rPr>
        <w:t xml:space="preserve"> percent</w:t>
      </w:r>
      <w:r w:rsidR="00A1192B" w:rsidRPr="00326B49">
        <w:rPr>
          <w:rFonts w:ascii="Times New Roman" w:hAnsi="Times New Roman" w:cs="Times New Roman"/>
          <w:sz w:val="24"/>
          <w:szCs w:val="24"/>
        </w:rPr>
        <w:t xml:space="preserve"> from the private sector. Public contribution to the country’s health expenditure i</w:t>
      </w:r>
      <w:r w:rsidR="002E42BE">
        <w:rPr>
          <w:rFonts w:ascii="Times New Roman" w:hAnsi="Times New Roman" w:cs="Times New Roman"/>
          <w:sz w:val="24"/>
          <w:szCs w:val="24"/>
        </w:rPr>
        <w:t xml:space="preserve">s also on an increasing trend. </w:t>
      </w:r>
      <w:r w:rsidR="00A1192B" w:rsidRPr="00326B49">
        <w:rPr>
          <w:rFonts w:ascii="Times New Roman" w:hAnsi="Times New Roman" w:cs="Times New Roman"/>
          <w:sz w:val="24"/>
          <w:szCs w:val="24"/>
        </w:rPr>
        <w:t xml:space="preserve">Government expenditure on health as a percent of total expenditure on health increased from </w:t>
      </w:r>
      <w:r w:rsidR="002E42BE">
        <w:rPr>
          <w:rFonts w:ascii="Times New Roman" w:hAnsi="Times New Roman" w:cs="Times New Roman"/>
          <w:sz w:val="24"/>
          <w:szCs w:val="24"/>
        </w:rPr>
        <w:t>44.6 percent in 1994 to 56.1 percent in 2000. It then increased further,</w:t>
      </w:r>
      <w:r w:rsidR="00A1192B" w:rsidRPr="00326B49">
        <w:rPr>
          <w:rFonts w:ascii="Times New Roman" w:hAnsi="Times New Roman" w:cs="Times New Roman"/>
          <w:sz w:val="24"/>
          <w:szCs w:val="24"/>
        </w:rPr>
        <w:t xml:space="preserve"> </w:t>
      </w:r>
      <w:r w:rsidR="002E42BE">
        <w:rPr>
          <w:rFonts w:ascii="Times New Roman" w:hAnsi="Times New Roman" w:cs="Times New Roman"/>
          <w:sz w:val="24"/>
          <w:szCs w:val="24"/>
        </w:rPr>
        <w:t>after</w:t>
      </w:r>
      <w:r w:rsidR="007A3A62" w:rsidRPr="00326B49">
        <w:rPr>
          <w:rFonts w:ascii="Times New Roman" w:hAnsi="Times New Roman" w:cs="Times New Roman"/>
          <w:sz w:val="24"/>
          <w:szCs w:val="24"/>
        </w:rPr>
        <w:t xml:space="preserve"> the implementation of the UC</w:t>
      </w:r>
      <w:r w:rsidR="002E42BE">
        <w:rPr>
          <w:rFonts w:ascii="Times New Roman" w:hAnsi="Times New Roman" w:cs="Times New Roman"/>
          <w:sz w:val="24"/>
          <w:szCs w:val="24"/>
        </w:rPr>
        <w:t>,</w:t>
      </w:r>
      <w:r w:rsidR="00A1192B" w:rsidRPr="00326B49">
        <w:rPr>
          <w:rFonts w:ascii="Times New Roman" w:hAnsi="Times New Roman" w:cs="Times New Roman"/>
          <w:sz w:val="24"/>
          <w:szCs w:val="24"/>
        </w:rPr>
        <w:t xml:space="preserve"> to 61.6</w:t>
      </w:r>
      <w:r w:rsidR="002E42BE">
        <w:rPr>
          <w:rFonts w:ascii="Times New Roman" w:hAnsi="Times New Roman" w:cs="Times New Roman"/>
          <w:sz w:val="24"/>
          <w:szCs w:val="24"/>
        </w:rPr>
        <w:t xml:space="preserve"> percent</w:t>
      </w:r>
      <w:r w:rsidR="00A1192B" w:rsidRPr="00326B49">
        <w:rPr>
          <w:rFonts w:ascii="Times New Roman" w:hAnsi="Times New Roman" w:cs="Times New Roman"/>
          <w:sz w:val="24"/>
          <w:szCs w:val="24"/>
        </w:rPr>
        <w:t xml:space="preserve"> in 2003 (WHO, 2006).</w:t>
      </w:r>
      <w:r w:rsidR="002E42BE">
        <w:rPr>
          <w:rFonts w:ascii="Times New Roman" w:hAnsi="Times New Roman" w:cs="Times New Roman"/>
          <w:sz w:val="24"/>
          <w:szCs w:val="24"/>
        </w:rPr>
        <w:t xml:space="preserve"> In 2010, government expenditure on health </w:t>
      </w:r>
      <w:r w:rsidR="00C34CAF">
        <w:rPr>
          <w:rFonts w:ascii="Times New Roman" w:hAnsi="Times New Roman" w:cs="Times New Roman"/>
          <w:sz w:val="24"/>
          <w:szCs w:val="24"/>
        </w:rPr>
        <w:t xml:space="preserve">stood </w:t>
      </w:r>
      <w:r w:rsidR="002E42BE">
        <w:rPr>
          <w:rFonts w:ascii="Times New Roman" w:hAnsi="Times New Roman" w:cs="Times New Roman"/>
          <w:sz w:val="24"/>
          <w:szCs w:val="24"/>
        </w:rPr>
        <w:t>at 74.8 percent</w:t>
      </w:r>
      <w:r w:rsidR="00C34CAF">
        <w:rPr>
          <w:rFonts w:ascii="Times New Roman" w:hAnsi="Times New Roman" w:cs="Times New Roman"/>
          <w:sz w:val="24"/>
          <w:szCs w:val="24"/>
        </w:rPr>
        <w:t xml:space="preserve"> of total health expenditure</w:t>
      </w:r>
      <w:r w:rsidR="002E42BE">
        <w:rPr>
          <w:rFonts w:ascii="Times New Roman" w:hAnsi="Times New Roman" w:cs="Times New Roman"/>
          <w:sz w:val="24"/>
          <w:szCs w:val="24"/>
        </w:rPr>
        <w:t>.</w:t>
      </w:r>
      <w:r w:rsidR="00A1192B" w:rsidRPr="00326B49">
        <w:rPr>
          <w:rFonts w:ascii="Times New Roman" w:hAnsi="Times New Roman" w:cs="Times New Roman"/>
          <w:sz w:val="24"/>
          <w:szCs w:val="24"/>
        </w:rPr>
        <w:t xml:space="preserve"> </w:t>
      </w:r>
      <w:r w:rsidR="002E42BE">
        <w:rPr>
          <w:rFonts w:ascii="Times New Roman" w:hAnsi="Times New Roman" w:cs="Times New Roman"/>
          <w:sz w:val="24"/>
          <w:szCs w:val="24"/>
        </w:rPr>
        <w:t>In contrast, t</w:t>
      </w:r>
      <w:r w:rsidR="00A1192B" w:rsidRPr="00326B49">
        <w:rPr>
          <w:rFonts w:ascii="Times New Roman" w:hAnsi="Times New Roman" w:cs="Times New Roman"/>
          <w:sz w:val="24"/>
          <w:szCs w:val="24"/>
        </w:rPr>
        <w:t xml:space="preserve">he proportion of private expenditure on health decreased, from </w:t>
      </w:r>
      <w:r w:rsidR="002E42BE">
        <w:rPr>
          <w:rFonts w:ascii="Times New Roman" w:hAnsi="Times New Roman" w:cs="Times New Roman"/>
          <w:sz w:val="24"/>
          <w:szCs w:val="24"/>
        </w:rPr>
        <w:t>55.4 percent</w:t>
      </w:r>
      <w:r w:rsidR="00A1192B" w:rsidRPr="00326B49">
        <w:rPr>
          <w:rFonts w:ascii="Times New Roman" w:hAnsi="Times New Roman" w:cs="Times New Roman"/>
          <w:sz w:val="24"/>
          <w:szCs w:val="24"/>
        </w:rPr>
        <w:t xml:space="preserve"> in </w:t>
      </w:r>
      <w:r w:rsidR="002E42BE">
        <w:rPr>
          <w:rFonts w:ascii="Times New Roman" w:hAnsi="Times New Roman" w:cs="Times New Roman"/>
          <w:sz w:val="24"/>
          <w:szCs w:val="24"/>
        </w:rPr>
        <w:t>1994</w:t>
      </w:r>
      <w:r w:rsidR="00A1192B" w:rsidRPr="00326B49">
        <w:rPr>
          <w:rFonts w:ascii="Times New Roman" w:hAnsi="Times New Roman" w:cs="Times New Roman"/>
          <w:sz w:val="24"/>
          <w:szCs w:val="24"/>
        </w:rPr>
        <w:t xml:space="preserve"> to </w:t>
      </w:r>
      <w:r w:rsidR="00084ABF">
        <w:rPr>
          <w:rFonts w:ascii="Times New Roman" w:hAnsi="Times New Roman" w:cs="Times New Roman"/>
          <w:sz w:val="24"/>
          <w:szCs w:val="24"/>
        </w:rPr>
        <w:t>25.2</w:t>
      </w:r>
      <w:r w:rsidR="002E42BE">
        <w:rPr>
          <w:rFonts w:ascii="Times New Roman" w:hAnsi="Times New Roman" w:cs="Times New Roman"/>
          <w:sz w:val="24"/>
          <w:szCs w:val="24"/>
        </w:rPr>
        <w:t xml:space="preserve"> percent</w:t>
      </w:r>
      <w:r w:rsidR="00A1192B" w:rsidRPr="00326B49">
        <w:rPr>
          <w:rFonts w:ascii="Times New Roman" w:hAnsi="Times New Roman" w:cs="Times New Roman"/>
          <w:sz w:val="24"/>
          <w:szCs w:val="24"/>
        </w:rPr>
        <w:t xml:space="preserve"> in 20</w:t>
      </w:r>
      <w:r w:rsidR="00084ABF">
        <w:rPr>
          <w:rFonts w:ascii="Times New Roman" w:hAnsi="Times New Roman" w:cs="Times New Roman"/>
          <w:sz w:val="24"/>
          <w:szCs w:val="24"/>
        </w:rPr>
        <w:t>10 (IHPP, 2012)</w:t>
      </w:r>
      <w:r w:rsidR="00A1192B" w:rsidRPr="00326B49">
        <w:rPr>
          <w:rFonts w:ascii="Times New Roman" w:hAnsi="Times New Roman" w:cs="Times New Roman"/>
          <w:sz w:val="24"/>
          <w:szCs w:val="24"/>
        </w:rPr>
        <w:t xml:space="preserve">. </w:t>
      </w:r>
      <w:r w:rsidR="00A1192B" w:rsidRPr="00084ABF">
        <w:rPr>
          <w:rFonts w:ascii="Times New Roman" w:hAnsi="Times New Roman" w:cs="Times New Roman"/>
          <w:sz w:val="24"/>
          <w:szCs w:val="24"/>
        </w:rPr>
        <w:t xml:space="preserve">Moreover, government expenditure on health as a percent of total government expenditure </w:t>
      </w:r>
      <w:r w:rsidR="007A3A62" w:rsidRPr="00084ABF">
        <w:rPr>
          <w:rFonts w:ascii="Times New Roman" w:hAnsi="Times New Roman" w:cs="Times New Roman"/>
          <w:sz w:val="24"/>
          <w:szCs w:val="24"/>
        </w:rPr>
        <w:t xml:space="preserve">also </w:t>
      </w:r>
      <w:r w:rsidR="00C34CAF">
        <w:rPr>
          <w:rFonts w:ascii="Times New Roman" w:hAnsi="Times New Roman" w:cs="Times New Roman"/>
          <w:sz w:val="24"/>
          <w:szCs w:val="24"/>
        </w:rPr>
        <w:t>rose</w:t>
      </w:r>
      <w:r w:rsidR="007A3A62" w:rsidRPr="00084ABF">
        <w:rPr>
          <w:rFonts w:ascii="Times New Roman" w:hAnsi="Times New Roman" w:cs="Times New Roman"/>
          <w:sz w:val="24"/>
          <w:szCs w:val="24"/>
        </w:rPr>
        <w:t xml:space="preserve"> after the </w:t>
      </w:r>
      <w:r w:rsidR="00C34CAF">
        <w:rPr>
          <w:rFonts w:ascii="Times New Roman" w:hAnsi="Times New Roman" w:cs="Times New Roman"/>
          <w:sz w:val="24"/>
          <w:szCs w:val="24"/>
        </w:rPr>
        <w:t xml:space="preserve">introduction of </w:t>
      </w:r>
      <w:r w:rsidR="007A3A62" w:rsidRPr="00084ABF">
        <w:rPr>
          <w:rFonts w:ascii="Times New Roman" w:hAnsi="Times New Roman" w:cs="Times New Roman"/>
          <w:sz w:val="24"/>
          <w:szCs w:val="24"/>
        </w:rPr>
        <w:t>UC</w:t>
      </w:r>
      <w:r w:rsidR="00A1192B" w:rsidRPr="00084ABF">
        <w:rPr>
          <w:rFonts w:ascii="Times New Roman" w:hAnsi="Times New Roman" w:cs="Times New Roman"/>
          <w:sz w:val="24"/>
          <w:szCs w:val="24"/>
        </w:rPr>
        <w:t>, from 10.8</w:t>
      </w:r>
      <w:r w:rsidR="002E42BE" w:rsidRPr="00084ABF">
        <w:rPr>
          <w:rFonts w:ascii="Times New Roman" w:hAnsi="Times New Roman" w:cs="Times New Roman"/>
          <w:sz w:val="24"/>
          <w:szCs w:val="24"/>
        </w:rPr>
        <w:t xml:space="preserve"> percent</w:t>
      </w:r>
      <w:r w:rsidR="00A1192B" w:rsidRPr="00084ABF">
        <w:rPr>
          <w:rFonts w:ascii="Times New Roman" w:hAnsi="Times New Roman" w:cs="Times New Roman"/>
          <w:sz w:val="24"/>
          <w:szCs w:val="24"/>
        </w:rPr>
        <w:t xml:space="preserve"> in 2000 to 13.6</w:t>
      </w:r>
      <w:r w:rsidR="000819A1">
        <w:rPr>
          <w:rFonts w:ascii="Times New Roman" w:hAnsi="Times New Roman" w:cs="Times New Roman"/>
          <w:sz w:val="24"/>
          <w:szCs w:val="24"/>
        </w:rPr>
        <w:t xml:space="preserve"> percent</w:t>
      </w:r>
      <w:r w:rsidR="00A1192B" w:rsidRPr="00084ABF">
        <w:rPr>
          <w:rFonts w:ascii="Times New Roman" w:hAnsi="Times New Roman" w:cs="Times New Roman"/>
          <w:sz w:val="24"/>
          <w:szCs w:val="24"/>
        </w:rPr>
        <w:t xml:space="preserve"> in 2003.</w:t>
      </w:r>
      <w:r w:rsidR="00A1192B" w:rsidRPr="00A1192B">
        <w:rPr>
          <w:rFonts w:ascii="Times New Roman" w:hAnsi="Times New Roman" w:cs="Times New Roman"/>
          <w:sz w:val="24"/>
          <w:szCs w:val="24"/>
        </w:rPr>
        <w:t xml:space="preserve"> </w:t>
      </w:r>
    </w:p>
    <w:p w14:paraId="42B2E52E" w14:textId="77777777" w:rsidR="003B2FF6" w:rsidRDefault="003B2FF6" w:rsidP="003B2FF6">
      <w:pPr>
        <w:spacing w:before="120" w:after="0" w:line="360" w:lineRule="auto"/>
        <w:jc w:val="thaiDistribute"/>
        <w:rPr>
          <w:rFonts w:ascii="Times New Roman" w:hAnsi="Times New Roman" w:cs="Times New Roman"/>
          <w:bCs/>
          <w:iCs/>
          <w:sz w:val="24"/>
          <w:szCs w:val="24"/>
          <w:u w:val="single"/>
        </w:rPr>
      </w:pPr>
    </w:p>
    <w:p w14:paraId="640EED00" w14:textId="77777777" w:rsidR="00CE3FBA" w:rsidRPr="007D6A73" w:rsidRDefault="00CE3FBA" w:rsidP="003B2FF6">
      <w:pPr>
        <w:spacing w:before="120" w:after="0" w:line="360" w:lineRule="auto"/>
        <w:jc w:val="thaiDistribute"/>
        <w:rPr>
          <w:rFonts w:ascii="Times New Roman" w:hAnsi="Times New Roman" w:cs="Times New Roman"/>
          <w:bCs/>
          <w:iCs/>
          <w:sz w:val="24"/>
          <w:szCs w:val="24"/>
          <w:u w:val="single"/>
        </w:rPr>
      </w:pPr>
      <w:r w:rsidRPr="007D6A73">
        <w:rPr>
          <w:rFonts w:ascii="Times New Roman" w:hAnsi="Times New Roman" w:cs="Times New Roman"/>
          <w:bCs/>
          <w:iCs/>
          <w:sz w:val="24"/>
          <w:szCs w:val="24"/>
          <w:u w:val="single"/>
        </w:rPr>
        <w:t>Education</w:t>
      </w:r>
      <w:r w:rsidR="007D6A73" w:rsidRPr="007D6A73">
        <w:rPr>
          <w:rFonts w:ascii="Times New Roman" w:hAnsi="Times New Roman" w:cs="Times New Roman"/>
          <w:bCs/>
          <w:iCs/>
          <w:sz w:val="24"/>
          <w:szCs w:val="24"/>
          <w:u w:val="single"/>
        </w:rPr>
        <w:t xml:space="preserve"> transfers</w:t>
      </w:r>
    </w:p>
    <w:p w14:paraId="2BA70A4B" w14:textId="77777777" w:rsidR="00C73742" w:rsidRPr="00C73742" w:rsidRDefault="00C73742" w:rsidP="003B2FF6">
      <w:pPr>
        <w:spacing w:before="120" w:after="0" w:line="360" w:lineRule="auto"/>
        <w:jc w:val="thaiDistribute"/>
        <w:rPr>
          <w:rFonts w:ascii="Times New Roman" w:hAnsi="Times New Roman" w:cs="Times New Roman"/>
          <w:sz w:val="24"/>
          <w:szCs w:val="24"/>
        </w:rPr>
      </w:pPr>
      <w:r w:rsidRPr="00C73742">
        <w:rPr>
          <w:rFonts w:ascii="Times New Roman" w:hAnsi="Times New Roman" w:cs="Times New Roman"/>
          <w:sz w:val="24"/>
          <w:szCs w:val="24"/>
        </w:rPr>
        <w:t xml:space="preserve">Education policy has been important in Thailand since it shifted from </w:t>
      </w:r>
      <w:r w:rsidR="00C34CAF">
        <w:rPr>
          <w:rFonts w:ascii="Times New Roman" w:hAnsi="Times New Roman" w:cs="Times New Roman"/>
          <w:sz w:val="24"/>
          <w:szCs w:val="24"/>
        </w:rPr>
        <w:t xml:space="preserve">an </w:t>
      </w:r>
      <w:r w:rsidRPr="00C73742">
        <w:rPr>
          <w:rFonts w:ascii="Times New Roman" w:hAnsi="Times New Roman" w:cs="Times New Roman"/>
          <w:sz w:val="24"/>
          <w:szCs w:val="24"/>
        </w:rPr>
        <w:t xml:space="preserve">absolute to </w:t>
      </w:r>
      <w:r w:rsidR="00C34CAF">
        <w:rPr>
          <w:rFonts w:ascii="Times New Roman" w:hAnsi="Times New Roman" w:cs="Times New Roman"/>
          <w:sz w:val="24"/>
          <w:szCs w:val="24"/>
        </w:rPr>
        <w:t xml:space="preserve">a </w:t>
      </w:r>
      <w:r w:rsidRPr="00C73742">
        <w:rPr>
          <w:rFonts w:ascii="Times New Roman" w:hAnsi="Times New Roman" w:cs="Times New Roman"/>
          <w:sz w:val="24"/>
          <w:szCs w:val="24"/>
        </w:rPr>
        <w:t>constitutional monarchy in 1932. The National Education Development Schemes (NEDS) have been implemented since 1960. The first two NEDS (1</w:t>
      </w:r>
      <w:r>
        <w:rPr>
          <w:rFonts w:ascii="Times New Roman" w:hAnsi="Times New Roman" w:cs="Times New Roman"/>
          <w:sz w:val="24"/>
          <w:szCs w:val="24"/>
        </w:rPr>
        <w:t>960-1968 and 1969-1976) emphasiz</w:t>
      </w:r>
      <w:r w:rsidRPr="00C73742">
        <w:rPr>
          <w:rFonts w:ascii="Times New Roman" w:hAnsi="Times New Roman" w:cs="Times New Roman"/>
          <w:sz w:val="24"/>
          <w:szCs w:val="24"/>
        </w:rPr>
        <w:t xml:space="preserve">ed an expansion of primary education. The </w:t>
      </w:r>
      <w:r>
        <w:rPr>
          <w:rFonts w:ascii="Times New Roman" w:hAnsi="Times New Roman" w:cs="Times New Roman"/>
          <w:sz w:val="24"/>
          <w:szCs w:val="24"/>
        </w:rPr>
        <w:t xml:space="preserve">third </w:t>
      </w:r>
      <w:r w:rsidRPr="00C73742">
        <w:rPr>
          <w:rFonts w:ascii="Times New Roman" w:hAnsi="Times New Roman" w:cs="Times New Roman"/>
          <w:sz w:val="24"/>
          <w:szCs w:val="24"/>
        </w:rPr>
        <w:t xml:space="preserve">NEDS </w:t>
      </w:r>
      <w:r>
        <w:rPr>
          <w:rFonts w:ascii="Times New Roman" w:hAnsi="Times New Roman" w:cs="Times New Roman"/>
          <w:sz w:val="24"/>
          <w:szCs w:val="24"/>
        </w:rPr>
        <w:t>(</w:t>
      </w:r>
      <w:r w:rsidRPr="00C73742">
        <w:rPr>
          <w:rFonts w:ascii="Times New Roman" w:hAnsi="Times New Roman" w:cs="Times New Roman"/>
          <w:sz w:val="24"/>
          <w:szCs w:val="24"/>
        </w:rPr>
        <w:t>1977-1991</w:t>
      </w:r>
      <w:r>
        <w:rPr>
          <w:rFonts w:ascii="Times New Roman" w:hAnsi="Times New Roman" w:cs="Times New Roman"/>
          <w:sz w:val="24"/>
          <w:szCs w:val="24"/>
        </w:rPr>
        <w:t>)</w:t>
      </w:r>
      <w:r w:rsidRPr="00C73742">
        <w:rPr>
          <w:rFonts w:ascii="Times New Roman" w:hAnsi="Times New Roman" w:cs="Times New Roman"/>
          <w:sz w:val="24"/>
          <w:szCs w:val="24"/>
        </w:rPr>
        <w:t xml:space="preserve"> changed the education structure from 4:3:3:2 to 6:3:3 where the 6-year primary education was compulsory. </w:t>
      </w:r>
    </w:p>
    <w:p w14:paraId="4242AB4C" w14:textId="5BCFAAB1" w:rsidR="00C73742" w:rsidRDefault="00C73742" w:rsidP="00C73742">
      <w:pPr>
        <w:spacing w:before="120" w:after="0" w:line="360" w:lineRule="auto"/>
        <w:ind w:firstLine="567"/>
        <w:jc w:val="thaiDistribute"/>
        <w:rPr>
          <w:rFonts w:ascii="Times New Roman" w:hAnsi="Times New Roman" w:cs="Times New Roman"/>
          <w:sz w:val="24"/>
          <w:szCs w:val="24"/>
        </w:rPr>
      </w:pPr>
      <w:r w:rsidRPr="00C73742">
        <w:rPr>
          <w:rFonts w:ascii="Times New Roman" w:hAnsi="Times New Roman" w:cs="Times New Roman"/>
          <w:sz w:val="24"/>
          <w:szCs w:val="24"/>
        </w:rPr>
        <w:t>In the 1980s, the government further intensified its efforts to achieve universal primary education</w:t>
      </w:r>
      <w:r w:rsidR="00C34CAF">
        <w:rPr>
          <w:rFonts w:ascii="Times New Roman" w:hAnsi="Times New Roman" w:cs="Times New Roman"/>
          <w:sz w:val="24"/>
          <w:szCs w:val="24"/>
        </w:rPr>
        <w:t>, while at</w:t>
      </w:r>
      <w:r w:rsidRPr="00C73742">
        <w:rPr>
          <w:rFonts w:ascii="Times New Roman" w:hAnsi="Times New Roman" w:cs="Times New Roman"/>
          <w:sz w:val="24"/>
          <w:szCs w:val="24"/>
        </w:rPr>
        <w:t xml:space="preserve"> the same time</w:t>
      </w:r>
      <w:r w:rsidR="00C34CAF">
        <w:rPr>
          <w:rFonts w:ascii="Times New Roman" w:hAnsi="Times New Roman" w:cs="Times New Roman"/>
          <w:sz w:val="24"/>
          <w:szCs w:val="24"/>
        </w:rPr>
        <w:t xml:space="preserve"> promoting</w:t>
      </w:r>
      <w:r w:rsidRPr="00C73742">
        <w:rPr>
          <w:rFonts w:ascii="Times New Roman" w:hAnsi="Times New Roman" w:cs="Times New Roman"/>
          <w:sz w:val="24"/>
          <w:szCs w:val="24"/>
        </w:rPr>
        <w:t xml:space="preserve"> tertiary education. This included allowing the establishment of private universities and setting up </w:t>
      </w:r>
      <w:r w:rsidR="00C34CAF">
        <w:rPr>
          <w:rFonts w:ascii="Times New Roman" w:hAnsi="Times New Roman" w:cs="Times New Roman"/>
          <w:sz w:val="24"/>
          <w:szCs w:val="24"/>
        </w:rPr>
        <w:t xml:space="preserve">provincial </w:t>
      </w:r>
      <w:r w:rsidRPr="00C73742">
        <w:rPr>
          <w:rFonts w:ascii="Times New Roman" w:hAnsi="Times New Roman" w:cs="Times New Roman"/>
          <w:sz w:val="24"/>
          <w:szCs w:val="24"/>
        </w:rPr>
        <w:t xml:space="preserve">colleges around the country. </w:t>
      </w:r>
      <w:r>
        <w:rPr>
          <w:rFonts w:ascii="Times New Roman" w:hAnsi="Times New Roman" w:cs="Times New Roman"/>
          <w:sz w:val="24"/>
          <w:szCs w:val="24"/>
        </w:rPr>
        <w:t>As a result, the government budget for education was 19.3 percent of the total budget in 1980. However, it accounted for 3.4 percent of the Gross National Product (GNP)</w:t>
      </w:r>
      <w:r w:rsidR="00E34CC7">
        <w:rPr>
          <w:rFonts w:ascii="Times New Roman" w:hAnsi="Times New Roman" w:cs="Times New Roman"/>
          <w:sz w:val="24"/>
          <w:szCs w:val="24"/>
        </w:rPr>
        <w:t>,</w:t>
      </w:r>
      <w:r>
        <w:rPr>
          <w:rFonts w:ascii="Times New Roman" w:hAnsi="Times New Roman" w:cs="Times New Roman"/>
          <w:sz w:val="24"/>
          <w:szCs w:val="24"/>
        </w:rPr>
        <w:t xml:space="preserve"> low compared to </w:t>
      </w:r>
      <w:r w:rsidR="005F3B6D">
        <w:rPr>
          <w:rFonts w:ascii="Times New Roman" w:hAnsi="Times New Roman" w:cs="Times New Roman"/>
          <w:sz w:val="24"/>
          <w:szCs w:val="24"/>
        </w:rPr>
        <w:t xml:space="preserve">developed countries (6.7 percent for US and 5.6 percent for UK) and even Malaysia (6.0 percent). </w:t>
      </w:r>
    </w:p>
    <w:p w14:paraId="12B26A77" w14:textId="77777777" w:rsidR="005F3B6D" w:rsidRDefault="005F3B6D" w:rsidP="00C73742">
      <w:pPr>
        <w:spacing w:before="120" w:after="0" w:line="360" w:lineRule="auto"/>
        <w:ind w:firstLine="567"/>
        <w:jc w:val="thaiDistribute"/>
        <w:rPr>
          <w:rFonts w:ascii="Times New Roman" w:hAnsi="Times New Roman" w:cs="Times New Roman"/>
          <w:sz w:val="24"/>
          <w:szCs w:val="24"/>
        </w:rPr>
      </w:pPr>
      <w:r>
        <w:rPr>
          <w:rFonts w:ascii="Times New Roman" w:hAnsi="Times New Roman" w:cs="Times New Roman"/>
          <w:sz w:val="24"/>
          <w:szCs w:val="24"/>
        </w:rPr>
        <w:t>I</w:t>
      </w:r>
      <w:r w:rsidR="00C73742" w:rsidRPr="00C73742">
        <w:rPr>
          <w:rFonts w:ascii="Times New Roman" w:hAnsi="Times New Roman" w:cs="Times New Roman"/>
          <w:sz w:val="24"/>
          <w:szCs w:val="24"/>
        </w:rPr>
        <w:t xml:space="preserve">n 1990, the cabinet approved in principle the extension of compulsory education from six to nine years. Accordingly, since 1991 there were increasing numbers of primary schools opening lower secondary classes on a free-of-charge basis (Jones, 2003, p. 11). </w:t>
      </w:r>
      <w:r w:rsidR="0060551A">
        <w:rPr>
          <w:rFonts w:ascii="Times New Roman" w:hAnsi="Times New Roman" w:cs="Times New Roman"/>
          <w:sz w:val="24"/>
          <w:szCs w:val="24"/>
        </w:rPr>
        <w:t xml:space="preserve">As for the budget, during 1990-1997, the education budget has increased by 15 percent per year with the highest in 1997 at 202,864 million Baht or 4.3 percent of GNP (UNESCO, 2000). </w:t>
      </w:r>
      <w:r>
        <w:rPr>
          <w:rFonts w:ascii="Times New Roman" w:hAnsi="Times New Roman" w:cs="Times New Roman"/>
          <w:sz w:val="24"/>
          <w:szCs w:val="24"/>
        </w:rPr>
        <w:t xml:space="preserve">In 1999, </w:t>
      </w:r>
      <w:r w:rsidR="00C73742" w:rsidRPr="00C73742">
        <w:rPr>
          <w:rFonts w:ascii="Times New Roman" w:hAnsi="Times New Roman" w:cs="Times New Roman"/>
          <w:sz w:val="24"/>
          <w:szCs w:val="24"/>
        </w:rPr>
        <w:t>under the enactment of the National Education Act 1999</w:t>
      </w:r>
      <w:r>
        <w:rPr>
          <w:rFonts w:ascii="Times New Roman" w:hAnsi="Times New Roman" w:cs="Times New Roman"/>
          <w:sz w:val="24"/>
          <w:szCs w:val="24"/>
        </w:rPr>
        <w:t xml:space="preserve">, </w:t>
      </w:r>
      <w:r w:rsidR="00C73742" w:rsidRPr="00C73742">
        <w:rPr>
          <w:rFonts w:ascii="Times New Roman" w:hAnsi="Times New Roman" w:cs="Times New Roman"/>
          <w:sz w:val="24"/>
          <w:szCs w:val="24"/>
        </w:rPr>
        <w:t>the government was obligated to provide twelve years of education free of charge (Kirtikara, 2001, p. 6).</w:t>
      </w:r>
      <w:r>
        <w:rPr>
          <w:rFonts w:ascii="Times New Roman" w:hAnsi="Times New Roman" w:cs="Times New Roman"/>
          <w:sz w:val="24"/>
          <w:szCs w:val="24"/>
        </w:rPr>
        <w:t xml:space="preserve"> </w:t>
      </w:r>
      <w:r w:rsidR="0060551A">
        <w:rPr>
          <w:rFonts w:ascii="Times New Roman" w:hAnsi="Times New Roman" w:cs="Times New Roman"/>
          <w:sz w:val="24"/>
          <w:szCs w:val="24"/>
        </w:rPr>
        <w:t xml:space="preserve">As a result, the budget for education jumped to 220,031 million Baht, accounting for 25.8 percent of the total government expenditure. </w:t>
      </w:r>
      <w:r w:rsidR="00132702">
        <w:rPr>
          <w:rFonts w:ascii="Times New Roman" w:hAnsi="Times New Roman" w:cs="Times New Roman"/>
          <w:sz w:val="24"/>
          <w:szCs w:val="24"/>
        </w:rPr>
        <w:t xml:space="preserve">Between 2000-2009, value of the budget for education </w:t>
      </w:r>
      <w:r w:rsidR="005D66F3">
        <w:rPr>
          <w:rFonts w:ascii="Times New Roman" w:hAnsi="Times New Roman" w:cs="Times New Roman"/>
          <w:sz w:val="24"/>
          <w:szCs w:val="24"/>
        </w:rPr>
        <w:t xml:space="preserve">has increased continually (see </w:t>
      </w:r>
      <w:r w:rsidR="005D66F3">
        <w:rPr>
          <w:rFonts w:ascii="Times New Roman" w:hAnsi="Times New Roman" w:cs="Times New Roman" w:hint="eastAsia"/>
          <w:sz w:val="24"/>
          <w:szCs w:val="24"/>
          <w:lang w:eastAsia="ko-KR"/>
        </w:rPr>
        <w:t>f</w:t>
      </w:r>
      <w:r w:rsidR="00132702">
        <w:rPr>
          <w:rFonts w:ascii="Times New Roman" w:hAnsi="Times New Roman" w:cs="Times New Roman"/>
          <w:sz w:val="24"/>
          <w:szCs w:val="24"/>
        </w:rPr>
        <w:t xml:space="preserve">igure 4). The share of education budget to total government budget was averaged at 22.9 percent over the same period. </w:t>
      </w:r>
    </w:p>
    <w:p w14:paraId="61AB0143" w14:textId="77777777" w:rsidR="00132702" w:rsidRPr="00132702" w:rsidRDefault="00132702" w:rsidP="00132702">
      <w:pPr>
        <w:spacing w:before="120" w:after="0" w:line="360" w:lineRule="auto"/>
        <w:jc w:val="thaiDistribute"/>
        <w:rPr>
          <w:rFonts w:ascii="Times New Roman" w:hAnsi="Times New Roman" w:cs="Times New Roman"/>
          <w:sz w:val="24"/>
          <w:szCs w:val="24"/>
          <w:lang w:eastAsia="ko-KR"/>
        </w:rPr>
      </w:pPr>
    </w:p>
    <w:tbl>
      <w:tblPr>
        <w:tblStyle w:val="TableGrid"/>
        <w:tblW w:w="0" w:type="auto"/>
        <w:tblLook w:val="04A0" w:firstRow="1" w:lastRow="0" w:firstColumn="1" w:lastColumn="0" w:noHBand="0" w:noVBand="1"/>
      </w:tblPr>
      <w:tblGrid>
        <w:gridCol w:w="9243"/>
      </w:tblGrid>
      <w:tr w:rsidR="00132702" w:rsidRPr="00132702" w14:paraId="0B6A77C4" w14:textId="77777777" w:rsidTr="00196088">
        <w:tc>
          <w:tcPr>
            <w:tcW w:w="9243" w:type="dxa"/>
            <w:tcBorders>
              <w:bottom w:val="single" w:sz="4" w:space="0" w:color="auto"/>
            </w:tcBorders>
          </w:tcPr>
          <w:p w14:paraId="785C63B8" w14:textId="77777777" w:rsidR="00132702" w:rsidRPr="00132702" w:rsidRDefault="00A92C81" w:rsidP="00FB0F8B">
            <w:pPr>
              <w:spacing w:before="120" w:line="360" w:lineRule="auto"/>
              <w:jc w:val="center"/>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14:anchorId="5FD35076" wp14:editId="48C2AF8F">
                  <wp:extent cx="4270075" cy="2156604"/>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132702" w14:paraId="6C89463F" w14:textId="77777777" w:rsidTr="00196088">
        <w:tc>
          <w:tcPr>
            <w:tcW w:w="9243" w:type="dxa"/>
            <w:tcBorders>
              <w:top w:val="single" w:sz="4" w:space="0" w:color="auto"/>
              <w:left w:val="nil"/>
              <w:bottom w:val="nil"/>
              <w:right w:val="nil"/>
            </w:tcBorders>
          </w:tcPr>
          <w:p w14:paraId="0E815FAA" w14:textId="77777777" w:rsidR="005D66F3" w:rsidRDefault="005D66F3" w:rsidP="00132702">
            <w:pPr>
              <w:spacing w:before="120" w:line="360" w:lineRule="auto"/>
              <w:jc w:val="thaiDistribute"/>
              <w:rPr>
                <w:rFonts w:ascii="Times New Roman" w:hAnsi="Times New Roman" w:cs="Times New Roman"/>
                <w:i/>
                <w:iCs/>
                <w:sz w:val="20"/>
                <w:szCs w:val="20"/>
                <w:lang w:eastAsia="ko-KR"/>
              </w:rPr>
            </w:pPr>
            <w:r w:rsidRPr="00132702">
              <w:rPr>
                <w:rFonts w:ascii="Times New Roman" w:hAnsi="Times New Roman" w:cs="Times New Roman"/>
                <w:sz w:val="24"/>
                <w:szCs w:val="24"/>
              </w:rPr>
              <w:t xml:space="preserve">Figure 4 </w:t>
            </w:r>
            <w:r w:rsidRPr="00132702">
              <w:rPr>
                <w:rFonts w:ascii="Times New Roman" w:hAnsi="Times New Roman" w:cstheme="minorBidi"/>
                <w:sz w:val="24"/>
                <w:szCs w:val="24"/>
              </w:rPr>
              <w:t>Government Budget for Education and its Share of Total Budget</w:t>
            </w:r>
            <w:r w:rsidRPr="00132702">
              <w:rPr>
                <w:rFonts w:ascii="Times New Roman" w:hAnsi="Times New Roman" w:cs="Times New Roman"/>
                <w:sz w:val="24"/>
                <w:szCs w:val="24"/>
              </w:rPr>
              <w:t>, 2000-2009</w:t>
            </w:r>
            <w:r>
              <w:rPr>
                <w:rFonts w:ascii="Times New Roman" w:hAnsi="Times New Roman" w:cs="Times New Roman" w:hint="eastAsia"/>
                <w:sz w:val="24"/>
                <w:szCs w:val="24"/>
                <w:lang w:eastAsia="ko-KR"/>
              </w:rPr>
              <w:t>.</w:t>
            </w:r>
          </w:p>
          <w:p w14:paraId="143FBED9" w14:textId="77777777" w:rsidR="00132702" w:rsidRPr="005D66F3" w:rsidRDefault="00132702" w:rsidP="00132702">
            <w:pPr>
              <w:spacing w:before="120" w:line="360" w:lineRule="auto"/>
              <w:jc w:val="thaiDistribute"/>
              <w:rPr>
                <w:rFonts w:ascii="Times New Roman" w:hAnsi="Times New Roman" w:cs="Times New Roman"/>
                <w:sz w:val="24"/>
                <w:szCs w:val="24"/>
              </w:rPr>
            </w:pPr>
            <w:r w:rsidRPr="005D66F3">
              <w:rPr>
                <w:rFonts w:ascii="Times New Roman" w:hAnsi="Times New Roman" w:cs="Times New Roman"/>
                <w:iCs/>
                <w:sz w:val="24"/>
                <w:szCs w:val="24"/>
              </w:rPr>
              <w:t>Source</w:t>
            </w:r>
            <w:r w:rsidRPr="005D66F3">
              <w:rPr>
                <w:rFonts w:ascii="Times New Roman" w:hAnsi="Times New Roman" w:cs="Times New Roman"/>
                <w:sz w:val="24"/>
                <w:szCs w:val="24"/>
              </w:rPr>
              <w:t xml:space="preserve">: Comptroller-General’s Department, Ministry of Finance, compiled by NESDB </w:t>
            </w:r>
          </w:p>
        </w:tc>
      </w:tr>
    </w:tbl>
    <w:p w14:paraId="6958E0A9" w14:textId="77777777" w:rsidR="003B2FF6" w:rsidRDefault="003B2FF6" w:rsidP="003B2FF6">
      <w:pPr>
        <w:spacing w:before="120" w:after="0" w:line="360" w:lineRule="auto"/>
        <w:jc w:val="thaiDistribute"/>
        <w:rPr>
          <w:rFonts w:ascii="Times New Roman" w:hAnsi="Times New Roman" w:cs="Times New Roman"/>
          <w:bCs/>
          <w:iCs/>
          <w:sz w:val="24"/>
          <w:szCs w:val="24"/>
          <w:u w:val="single"/>
        </w:rPr>
      </w:pPr>
    </w:p>
    <w:p w14:paraId="11AFA451" w14:textId="77777777" w:rsidR="00CE3FBA" w:rsidRPr="007D6A73" w:rsidRDefault="00CE3FBA" w:rsidP="003B2FF6">
      <w:pPr>
        <w:spacing w:before="120" w:after="0" w:line="360" w:lineRule="auto"/>
        <w:jc w:val="thaiDistribute"/>
        <w:rPr>
          <w:rFonts w:ascii="Times New Roman" w:hAnsi="Times New Roman" w:cs="Times New Roman"/>
          <w:bCs/>
          <w:iCs/>
          <w:sz w:val="24"/>
          <w:szCs w:val="24"/>
          <w:u w:val="single"/>
        </w:rPr>
      </w:pPr>
      <w:r w:rsidRPr="007D6A73">
        <w:rPr>
          <w:rFonts w:ascii="Times New Roman" w:hAnsi="Times New Roman" w:cs="Times New Roman"/>
          <w:bCs/>
          <w:iCs/>
          <w:sz w:val="24"/>
          <w:szCs w:val="24"/>
          <w:u w:val="single"/>
        </w:rPr>
        <w:t>Pension and other Social Provisions</w:t>
      </w:r>
    </w:p>
    <w:p w14:paraId="1A3F60A4" w14:textId="77777777" w:rsidR="00792DCE" w:rsidRPr="00C77266" w:rsidRDefault="00CF1A0B" w:rsidP="003B2FF6">
      <w:pPr>
        <w:spacing w:before="120" w:after="0" w:line="360" w:lineRule="auto"/>
        <w:jc w:val="thaiDistribute"/>
        <w:rPr>
          <w:rFonts w:ascii="Times New Roman" w:hAnsi="Times New Roman" w:cs="Times New Roman"/>
          <w:sz w:val="24"/>
          <w:szCs w:val="24"/>
        </w:rPr>
      </w:pPr>
      <w:r>
        <w:rPr>
          <w:rFonts w:ascii="Times New Roman" w:hAnsi="Times New Roman" w:cs="Times New Roman"/>
          <w:sz w:val="24"/>
          <w:szCs w:val="24"/>
        </w:rPr>
        <w:t xml:space="preserve">Aside from public health and education, the Thai government also </w:t>
      </w:r>
      <w:r w:rsidR="00613FA1">
        <w:rPr>
          <w:rFonts w:ascii="Times New Roman" w:hAnsi="Times New Roman" w:cs="Times New Roman"/>
          <w:sz w:val="24"/>
          <w:szCs w:val="24"/>
        </w:rPr>
        <w:t xml:space="preserve">has </w:t>
      </w:r>
      <w:r>
        <w:rPr>
          <w:rFonts w:ascii="Times New Roman" w:hAnsi="Times New Roman" w:cs="Times New Roman"/>
          <w:sz w:val="24"/>
          <w:szCs w:val="24"/>
        </w:rPr>
        <w:t>inc</w:t>
      </w:r>
      <w:r w:rsidR="004D43B4">
        <w:rPr>
          <w:rFonts w:ascii="Times New Roman" w:hAnsi="Times New Roman" w:cs="Times New Roman"/>
          <w:sz w:val="24"/>
          <w:szCs w:val="24"/>
        </w:rPr>
        <w:t xml:space="preserve">reased its provisions </w:t>
      </w:r>
      <w:r w:rsidR="00F34849">
        <w:rPr>
          <w:rFonts w:ascii="Times New Roman" w:hAnsi="Times New Roman" w:cs="Times New Roman"/>
          <w:sz w:val="24"/>
          <w:szCs w:val="24"/>
        </w:rPr>
        <w:t xml:space="preserve">of </w:t>
      </w:r>
      <w:r w:rsidR="004D43B4">
        <w:rPr>
          <w:rFonts w:ascii="Times New Roman" w:hAnsi="Times New Roman" w:cs="Times New Roman"/>
          <w:sz w:val="24"/>
          <w:szCs w:val="24"/>
        </w:rPr>
        <w:t xml:space="preserve">financial assistance to vulnerable population—namely elderly, </w:t>
      </w:r>
      <w:r w:rsidR="00613FA1">
        <w:rPr>
          <w:rFonts w:ascii="Times New Roman" w:hAnsi="Times New Roman" w:cs="Times New Roman"/>
          <w:sz w:val="24"/>
          <w:szCs w:val="24"/>
        </w:rPr>
        <w:t xml:space="preserve">the </w:t>
      </w:r>
      <w:r w:rsidR="004D43B4">
        <w:rPr>
          <w:rFonts w:ascii="Times New Roman" w:hAnsi="Times New Roman" w:cs="Times New Roman"/>
          <w:sz w:val="24"/>
          <w:szCs w:val="24"/>
        </w:rPr>
        <w:t>disable</w:t>
      </w:r>
      <w:r w:rsidR="00613FA1">
        <w:rPr>
          <w:rFonts w:ascii="Times New Roman" w:hAnsi="Times New Roman" w:cs="Times New Roman"/>
          <w:sz w:val="24"/>
          <w:szCs w:val="24"/>
        </w:rPr>
        <w:t>d</w:t>
      </w:r>
      <w:r w:rsidR="004D43B4">
        <w:rPr>
          <w:rFonts w:ascii="Times New Roman" w:hAnsi="Times New Roman" w:cs="Times New Roman"/>
          <w:sz w:val="24"/>
          <w:szCs w:val="24"/>
        </w:rPr>
        <w:t xml:space="preserve">, </w:t>
      </w:r>
      <w:r w:rsidR="00613FA1">
        <w:rPr>
          <w:rFonts w:ascii="Times New Roman" w:hAnsi="Times New Roman" w:cs="Times New Roman"/>
          <w:sz w:val="24"/>
          <w:szCs w:val="24"/>
        </w:rPr>
        <w:t xml:space="preserve">and </w:t>
      </w:r>
      <w:r w:rsidR="004D43B4">
        <w:rPr>
          <w:rFonts w:ascii="Times New Roman" w:hAnsi="Times New Roman" w:cs="Times New Roman"/>
          <w:sz w:val="24"/>
          <w:szCs w:val="24"/>
        </w:rPr>
        <w:t xml:space="preserve">HIV/AIDS patients. </w:t>
      </w:r>
      <w:r w:rsidR="003805D4">
        <w:rPr>
          <w:rFonts w:ascii="Times New Roman" w:hAnsi="Times New Roman" w:cs="Times New Roman"/>
          <w:sz w:val="24"/>
          <w:szCs w:val="24"/>
        </w:rPr>
        <w:t xml:space="preserve">The latter two groups receive cash transfers of 500 Baht per month. </w:t>
      </w:r>
      <w:r w:rsidR="00613FA1">
        <w:rPr>
          <w:rFonts w:ascii="Times New Roman" w:hAnsi="Times New Roman" w:cs="Times New Roman"/>
          <w:sz w:val="24"/>
          <w:szCs w:val="24"/>
        </w:rPr>
        <w:t>P</w:t>
      </w:r>
      <w:r w:rsidR="003805D4">
        <w:rPr>
          <w:rFonts w:ascii="Times New Roman" w:hAnsi="Times New Roman" w:cs="Times New Roman"/>
          <w:sz w:val="24"/>
          <w:szCs w:val="24"/>
        </w:rPr>
        <w:t xml:space="preserve">ersons </w:t>
      </w:r>
      <w:r w:rsidR="00705A91">
        <w:rPr>
          <w:rFonts w:ascii="Times New Roman" w:hAnsi="Times New Roman" w:cs="Times New Roman"/>
          <w:sz w:val="24"/>
          <w:szCs w:val="24"/>
        </w:rPr>
        <w:t>at least</w:t>
      </w:r>
      <w:r w:rsidR="003805D4">
        <w:rPr>
          <w:rFonts w:ascii="Times New Roman" w:hAnsi="Times New Roman" w:cs="Times New Roman"/>
          <w:sz w:val="24"/>
          <w:szCs w:val="24"/>
        </w:rPr>
        <w:t xml:space="preserve"> 60 years</w:t>
      </w:r>
      <w:r w:rsidR="00705A91">
        <w:rPr>
          <w:rFonts w:ascii="Times New Roman" w:hAnsi="Times New Roman" w:cs="Times New Roman"/>
          <w:sz w:val="24"/>
          <w:szCs w:val="24"/>
        </w:rPr>
        <w:t xml:space="preserve"> old</w:t>
      </w:r>
      <w:r w:rsidR="003805D4">
        <w:rPr>
          <w:rFonts w:ascii="Times New Roman" w:hAnsi="Times New Roman" w:cs="Times New Roman"/>
          <w:sz w:val="24"/>
          <w:szCs w:val="24"/>
        </w:rPr>
        <w:t xml:space="preserve"> not covered by other schemes receive a universal pension of 600-1,000 Baht per month. </w:t>
      </w:r>
      <w:r w:rsidR="00705A91">
        <w:rPr>
          <w:rFonts w:ascii="Times New Roman" w:hAnsi="Times New Roman" w:cs="Times New Roman"/>
          <w:sz w:val="24"/>
          <w:szCs w:val="24"/>
        </w:rPr>
        <w:t xml:space="preserve">The universal pension scheme in Thailand started as the means-tested old-age allowance system in 1993. The system provided 200 Baht per month to </w:t>
      </w:r>
      <w:r w:rsidR="00792DCE">
        <w:rPr>
          <w:rFonts w:ascii="Times New Roman" w:hAnsi="Times New Roman" w:cs="Times New Roman"/>
          <w:sz w:val="24"/>
          <w:szCs w:val="24"/>
        </w:rPr>
        <w:t>persons at least 60 years of age with inadequate income, no supporter</w:t>
      </w:r>
      <w:r w:rsidR="00613FA1">
        <w:rPr>
          <w:rFonts w:ascii="Times New Roman" w:hAnsi="Times New Roman" w:cs="Times New Roman"/>
          <w:sz w:val="24"/>
          <w:szCs w:val="24"/>
        </w:rPr>
        <w:t>, and</w:t>
      </w:r>
      <w:r w:rsidR="00792DCE">
        <w:rPr>
          <w:rFonts w:ascii="Times New Roman" w:hAnsi="Times New Roman" w:cs="Times New Roman"/>
          <w:sz w:val="24"/>
          <w:szCs w:val="24"/>
        </w:rPr>
        <w:t xml:space="preserve"> unable to work. The system has increased both the coverage and the amount of </w:t>
      </w:r>
      <w:r w:rsidR="00613FA1">
        <w:rPr>
          <w:rFonts w:ascii="Times New Roman" w:hAnsi="Times New Roman" w:cs="Times New Roman"/>
          <w:sz w:val="24"/>
          <w:szCs w:val="24"/>
        </w:rPr>
        <w:t xml:space="preserve">the </w:t>
      </w:r>
      <w:r w:rsidR="00792DCE">
        <w:rPr>
          <w:rFonts w:ascii="Times New Roman" w:hAnsi="Times New Roman" w:cs="Times New Roman"/>
          <w:sz w:val="24"/>
          <w:szCs w:val="24"/>
        </w:rPr>
        <w:t xml:space="preserve">allowance over time. The allowance </w:t>
      </w:r>
      <w:r w:rsidR="00792DCE" w:rsidRPr="0067157C">
        <w:rPr>
          <w:rFonts w:ascii="Times New Roman" w:hAnsi="Times New Roman" w:cs="Times New Roman"/>
          <w:sz w:val="24"/>
          <w:szCs w:val="24"/>
        </w:rPr>
        <w:t>amount was increased to 300 Baht per month in 2000</w:t>
      </w:r>
      <w:r w:rsidR="00F720A9">
        <w:rPr>
          <w:rFonts w:ascii="Times New Roman" w:hAnsi="Times New Roman" w:cs="Times New Roman"/>
          <w:sz w:val="24"/>
          <w:szCs w:val="24"/>
        </w:rPr>
        <w:t xml:space="preserve">. In 2005, there were significant reforms of the allowance system. Under </w:t>
      </w:r>
      <w:r w:rsidR="00613FA1">
        <w:rPr>
          <w:rFonts w:ascii="Times New Roman" w:hAnsi="Times New Roman" w:cs="Times New Roman"/>
          <w:sz w:val="24"/>
          <w:szCs w:val="24"/>
        </w:rPr>
        <w:t xml:space="preserve">the </w:t>
      </w:r>
      <w:r w:rsidR="00F720A9">
        <w:rPr>
          <w:rFonts w:ascii="Times New Roman" w:hAnsi="Times New Roman" w:cs="Times New Roman"/>
          <w:sz w:val="24"/>
          <w:szCs w:val="24"/>
        </w:rPr>
        <w:t xml:space="preserve">decentralization process, the tasks of identifying the recipient and defining the allowance amount was devolved to local authorities. Under this reformed system, the </w:t>
      </w:r>
      <w:r w:rsidR="00C77266">
        <w:rPr>
          <w:rFonts w:ascii="Times New Roman" w:hAnsi="Times New Roman" w:cs="Times New Roman"/>
          <w:sz w:val="24"/>
          <w:szCs w:val="24"/>
        </w:rPr>
        <w:t>local authorities can use their own funds to increase the allowance amount or increase the number of recipients (</w:t>
      </w:r>
      <w:r w:rsidR="00C77266" w:rsidRPr="0069120C">
        <w:rPr>
          <w:rFonts w:ascii="Times New Roman" w:hAnsi="Times New Roman" w:cs="Times New Roman"/>
          <w:sz w:val="24"/>
          <w:szCs w:val="24"/>
        </w:rPr>
        <w:t>Sakunphanit and Suwanrada, 201</w:t>
      </w:r>
      <w:r w:rsidR="0069120C" w:rsidRPr="0069120C">
        <w:rPr>
          <w:rFonts w:ascii="Times New Roman" w:hAnsi="Times New Roman" w:cs="Times New Roman"/>
          <w:sz w:val="24"/>
          <w:szCs w:val="24"/>
        </w:rPr>
        <w:t>1</w:t>
      </w:r>
      <w:r w:rsidR="00C77266">
        <w:rPr>
          <w:rFonts w:ascii="Times New Roman" w:hAnsi="Times New Roman" w:cs="Times New Roman"/>
          <w:sz w:val="24"/>
          <w:szCs w:val="24"/>
        </w:rPr>
        <w:t>).</w:t>
      </w:r>
      <w:r w:rsidR="00792DCE" w:rsidRPr="0067157C">
        <w:rPr>
          <w:rFonts w:ascii="Times New Roman" w:hAnsi="Times New Roman" w:cs="Times New Roman"/>
          <w:sz w:val="24"/>
          <w:szCs w:val="24"/>
        </w:rPr>
        <w:t xml:space="preserve"> </w:t>
      </w:r>
      <w:r w:rsidR="00C77266">
        <w:rPr>
          <w:rFonts w:ascii="Times New Roman" w:hAnsi="Times New Roman" w:cs="Times New Roman"/>
          <w:sz w:val="24"/>
          <w:szCs w:val="24"/>
        </w:rPr>
        <w:t>In 2006, the allowance amount allocated from central government budget was increased</w:t>
      </w:r>
      <w:r w:rsidR="00792DCE" w:rsidRPr="0067157C">
        <w:rPr>
          <w:rFonts w:ascii="Times New Roman" w:hAnsi="Times New Roman" w:cs="Times New Roman"/>
          <w:sz w:val="24"/>
          <w:szCs w:val="24"/>
        </w:rPr>
        <w:t xml:space="preserve"> again to 500 Baht per month. </w:t>
      </w:r>
    </w:p>
    <w:p w14:paraId="0C6B2350" w14:textId="77777777" w:rsidR="00E75F32" w:rsidRDefault="00792DCE" w:rsidP="00E75F32">
      <w:pPr>
        <w:spacing w:before="120" w:after="0" w:line="360" w:lineRule="auto"/>
        <w:ind w:firstLine="567"/>
        <w:jc w:val="thaiDistribute"/>
        <w:rPr>
          <w:rFonts w:ascii="Times New Roman" w:hAnsi="Times New Roman" w:cs="Times New Roman"/>
          <w:sz w:val="24"/>
          <w:szCs w:val="24"/>
        </w:rPr>
      </w:pPr>
      <w:r w:rsidRPr="0067157C">
        <w:rPr>
          <w:rFonts w:ascii="Times New Roman" w:hAnsi="Times New Roman" w:cs="Times New Roman"/>
          <w:sz w:val="24"/>
          <w:szCs w:val="24"/>
          <w:lang w:val="en-GB"/>
        </w:rPr>
        <w:t>In 2009, the government changed the old-age allowance system to the 500-Baht Universal Pension Scheme.</w:t>
      </w:r>
      <w:r w:rsidR="0067157C" w:rsidRPr="0067157C">
        <w:rPr>
          <w:rFonts w:ascii="Times New Roman" w:hAnsi="Times New Roman" w:cs="Times New Roman"/>
          <w:sz w:val="24"/>
          <w:szCs w:val="24"/>
          <w:lang w:val="en-GB"/>
        </w:rPr>
        <w:t xml:space="preserve"> </w:t>
      </w:r>
      <w:r w:rsidR="0067157C">
        <w:rPr>
          <w:rFonts w:ascii="Times New Roman" w:hAnsi="Times New Roman" w:cs="Times New Roman"/>
          <w:sz w:val="24"/>
          <w:szCs w:val="24"/>
          <w:lang w:val="en-GB"/>
        </w:rPr>
        <w:t>Under this scheme, all elderly who do not receive pension from other pension schemes are eligible for the 500-Baht per month pension. Like health insurance,</w:t>
      </w:r>
      <w:r w:rsidR="005C5153">
        <w:rPr>
          <w:rFonts w:ascii="Times New Roman" w:hAnsi="Times New Roman" w:cs="Times New Roman"/>
          <w:sz w:val="24"/>
          <w:szCs w:val="24"/>
          <w:lang w:val="en-GB"/>
        </w:rPr>
        <w:t xml:space="preserve"> there are 3 broad types of</w:t>
      </w:r>
      <w:r w:rsidR="0067157C">
        <w:rPr>
          <w:rFonts w:ascii="Times New Roman" w:hAnsi="Times New Roman" w:cs="Times New Roman"/>
          <w:sz w:val="24"/>
          <w:szCs w:val="24"/>
          <w:lang w:val="en-GB"/>
        </w:rPr>
        <w:t xml:space="preserve"> pension scheme</w:t>
      </w:r>
      <w:r w:rsidR="005C5153">
        <w:rPr>
          <w:rFonts w:ascii="Times New Roman" w:hAnsi="Times New Roman" w:cs="Times New Roman"/>
          <w:sz w:val="24"/>
          <w:szCs w:val="24"/>
          <w:lang w:val="en-GB"/>
        </w:rPr>
        <w:t>s</w:t>
      </w:r>
      <w:r w:rsidR="0067157C">
        <w:rPr>
          <w:rFonts w:ascii="Times New Roman" w:hAnsi="Times New Roman" w:cs="Times New Roman"/>
          <w:sz w:val="24"/>
          <w:szCs w:val="24"/>
          <w:lang w:val="en-GB"/>
        </w:rPr>
        <w:t xml:space="preserve"> in T</w:t>
      </w:r>
      <w:r w:rsidR="00252283">
        <w:rPr>
          <w:rFonts w:ascii="Times New Roman" w:hAnsi="Times New Roman" w:cs="Times New Roman"/>
          <w:sz w:val="24"/>
          <w:szCs w:val="24"/>
          <w:lang w:val="en-GB"/>
        </w:rPr>
        <w:t>hailand</w:t>
      </w:r>
      <w:r w:rsidR="005C5153">
        <w:rPr>
          <w:rFonts w:ascii="Times New Roman" w:hAnsi="Times New Roman" w:cs="Times New Roman"/>
          <w:sz w:val="24"/>
          <w:szCs w:val="24"/>
          <w:lang w:val="en-GB"/>
        </w:rPr>
        <w:t xml:space="preserve">. Employees in private sector receive </w:t>
      </w:r>
      <w:r w:rsidR="00252283">
        <w:rPr>
          <w:rFonts w:ascii="Times New Roman" w:hAnsi="Times New Roman" w:cs="Times New Roman"/>
          <w:sz w:val="24"/>
          <w:szCs w:val="24"/>
          <w:lang w:val="en-GB"/>
        </w:rPr>
        <w:t xml:space="preserve">old-age benefits from </w:t>
      </w:r>
      <w:r w:rsidR="00613FA1">
        <w:rPr>
          <w:rFonts w:ascii="Times New Roman" w:hAnsi="Times New Roman" w:cs="Times New Roman"/>
          <w:sz w:val="24"/>
          <w:szCs w:val="24"/>
          <w:lang w:val="en-GB"/>
        </w:rPr>
        <w:t xml:space="preserve">the </w:t>
      </w:r>
      <w:r w:rsidR="005C5153">
        <w:rPr>
          <w:rFonts w:ascii="Times New Roman" w:hAnsi="Times New Roman" w:cs="Times New Roman"/>
          <w:sz w:val="24"/>
          <w:szCs w:val="24"/>
          <w:lang w:val="en-GB"/>
        </w:rPr>
        <w:t xml:space="preserve">contributory </w:t>
      </w:r>
      <w:r w:rsidR="00252283">
        <w:rPr>
          <w:rFonts w:ascii="Times New Roman" w:hAnsi="Times New Roman" w:cs="Times New Roman"/>
          <w:sz w:val="24"/>
          <w:szCs w:val="24"/>
          <w:lang w:val="en-GB"/>
        </w:rPr>
        <w:t>Social Security System</w:t>
      </w:r>
      <w:r w:rsidR="005C5153">
        <w:rPr>
          <w:rFonts w:ascii="Times New Roman" w:hAnsi="Times New Roman" w:cs="Times New Roman"/>
          <w:sz w:val="24"/>
          <w:szCs w:val="24"/>
          <w:lang w:val="en-GB"/>
        </w:rPr>
        <w:t xml:space="preserve">. Public sector personnel have long been provided with pensions under several pension schemes—Government </w:t>
      </w:r>
      <w:r w:rsidR="00252283">
        <w:rPr>
          <w:rFonts w:ascii="Times New Roman" w:hAnsi="Times New Roman" w:cs="Times New Roman"/>
          <w:sz w:val="24"/>
          <w:szCs w:val="24"/>
          <w:lang w:val="en-GB"/>
        </w:rPr>
        <w:t>Pension Scheme</w:t>
      </w:r>
      <w:r w:rsidR="005C5153">
        <w:rPr>
          <w:rFonts w:ascii="Times New Roman" w:hAnsi="Times New Roman" w:cs="Times New Roman"/>
          <w:sz w:val="24"/>
          <w:szCs w:val="24"/>
          <w:lang w:val="en-GB"/>
        </w:rPr>
        <w:t>s</w:t>
      </w:r>
      <w:r w:rsidR="00252283">
        <w:rPr>
          <w:rFonts w:ascii="Times New Roman" w:hAnsi="Times New Roman" w:cs="Times New Roman"/>
          <w:sz w:val="24"/>
          <w:szCs w:val="24"/>
          <w:lang w:val="en-GB"/>
        </w:rPr>
        <w:t xml:space="preserve"> for </w:t>
      </w:r>
      <w:r w:rsidR="005C5153">
        <w:rPr>
          <w:rFonts w:ascii="Times New Roman" w:hAnsi="Times New Roman" w:cs="Times New Roman"/>
          <w:sz w:val="24"/>
          <w:szCs w:val="24"/>
          <w:lang w:val="en-GB"/>
        </w:rPr>
        <w:t>central and regional government officers, Local Government Officers Pension Scheme</w:t>
      </w:r>
      <w:r w:rsidR="000621B5">
        <w:rPr>
          <w:rFonts w:ascii="Times New Roman" w:hAnsi="Times New Roman" w:cs="Times New Roman"/>
          <w:sz w:val="24"/>
          <w:szCs w:val="24"/>
          <w:lang w:val="en-GB"/>
        </w:rPr>
        <w:t xml:space="preserve"> for those in local authorities</w:t>
      </w:r>
      <w:r w:rsidR="005C5153">
        <w:rPr>
          <w:rFonts w:ascii="Times New Roman" w:hAnsi="Times New Roman" w:cs="Times New Roman"/>
          <w:sz w:val="24"/>
          <w:szCs w:val="24"/>
          <w:lang w:val="en-GB"/>
        </w:rPr>
        <w:t xml:space="preserve"> and Public Enterprise Employee Pension Scheme. </w:t>
      </w:r>
      <w:r w:rsidR="000621B5">
        <w:rPr>
          <w:rFonts w:ascii="Times New Roman" w:hAnsi="Times New Roman" w:cs="Times New Roman"/>
          <w:sz w:val="24"/>
          <w:szCs w:val="24"/>
          <w:lang w:val="en-GB"/>
        </w:rPr>
        <w:t>T</w:t>
      </w:r>
      <w:r w:rsidR="005C5153">
        <w:rPr>
          <w:rFonts w:ascii="Times New Roman" w:hAnsi="Times New Roman" w:cs="Times New Roman"/>
          <w:sz w:val="24"/>
          <w:szCs w:val="24"/>
          <w:lang w:val="en-GB"/>
        </w:rPr>
        <w:t>he rest of the elderly population</w:t>
      </w:r>
      <w:r w:rsidR="000621B5">
        <w:rPr>
          <w:rFonts w:ascii="Times New Roman" w:hAnsi="Times New Roman" w:cs="Times New Roman"/>
          <w:sz w:val="24"/>
          <w:szCs w:val="24"/>
          <w:lang w:val="en-GB"/>
        </w:rPr>
        <w:t xml:space="preserve"> is now covered by the Universal Pension Scheme</w:t>
      </w:r>
      <w:r w:rsidR="005C5153">
        <w:rPr>
          <w:rFonts w:ascii="Times New Roman" w:hAnsi="Times New Roman" w:cs="Times New Roman"/>
          <w:sz w:val="24"/>
          <w:szCs w:val="24"/>
          <w:lang w:val="en-GB"/>
        </w:rPr>
        <w:t xml:space="preserve">. </w:t>
      </w:r>
      <w:r w:rsidR="000621B5">
        <w:rPr>
          <w:rFonts w:ascii="Times New Roman" w:hAnsi="Times New Roman" w:cs="Times New Roman"/>
          <w:sz w:val="24"/>
          <w:szCs w:val="24"/>
          <w:lang w:val="en-GB"/>
        </w:rPr>
        <w:t>I</w:t>
      </w:r>
      <w:r w:rsidR="00E75F32" w:rsidRPr="0067157C">
        <w:rPr>
          <w:rFonts w:ascii="Times New Roman" w:hAnsi="Times New Roman" w:cs="Times New Roman"/>
          <w:sz w:val="24"/>
          <w:szCs w:val="24"/>
          <w:lang w:val="en-GB"/>
        </w:rPr>
        <w:t>n 2012, the flat-rate allowance</w:t>
      </w:r>
      <w:r w:rsidR="000621B5">
        <w:rPr>
          <w:rFonts w:ascii="Times New Roman" w:hAnsi="Times New Roman" w:cs="Times New Roman"/>
          <w:sz w:val="24"/>
          <w:szCs w:val="24"/>
          <w:lang w:val="en-GB"/>
        </w:rPr>
        <w:t xml:space="preserve"> of the Universal Pension Scheme</w:t>
      </w:r>
      <w:r w:rsidR="00E75F32" w:rsidRPr="0067157C">
        <w:rPr>
          <w:rFonts w:ascii="Times New Roman" w:hAnsi="Times New Roman" w:cs="Times New Roman"/>
          <w:sz w:val="24"/>
          <w:szCs w:val="24"/>
          <w:lang w:val="en-GB"/>
        </w:rPr>
        <w:t xml:space="preserve"> was replaced by a multiple-rate system. Under this system, eligible elderly receive 600-1,000 Baht, depending on the</w:t>
      </w:r>
      <w:r w:rsidR="00613FA1">
        <w:rPr>
          <w:rFonts w:ascii="Times New Roman" w:hAnsi="Times New Roman" w:cs="Times New Roman"/>
          <w:sz w:val="24"/>
          <w:szCs w:val="24"/>
          <w:lang w:val="en-GB"/>
        </w:rPr>
        <w:t>ir</w:t>
      </w:r>
      <w:r w:rsidR="00E75F32" w:rsidRPr="0067157C">
        <w:rPr>
          <w:rFonts w:ascii="Times New Roman" w:hAnsi="Times New Roman" w:cs="Times New Roman"/>
          <w:sz w:val="24"/>
          <w:szCs w:val="24"/>
          <w:lang w:val="en-GB"/>
        </w:rPr>
        <w:t xml:space="preserve"> age </w:t>
      </w:r>
      <w:r w:rsidR="0067157C">
        <w:rPr>
          <w:rFonts w:ascii="Times New Roman" w:hAnsi="Times New Roman" w:cs="Times New Roman"/>
          <w:sz w:val="24"/>
          <w:szCs w:val="24"/>
        </w:rPr>
        <w:t>—600 Baht per month for those aged 60-69 years, 700 Baht per month for 70-79 years, 800 Baht per month for 80-89 years and 1,000 Baht per month for 90 years and above.</w:t>
      </w:r>
    </w:p>
    <w:p w14:paraId="05365C3A" w14:textId="77777777" w:rsidR="00B55BD8" w:rsidRDefault="00B55BD8" w:rsidP="006520F4">
      <w:pPr>
        <w:spacing w:before="120" w:after="0" w:line="360" w:lineRule="auto"/>
        <w:ind w:firstLine="567"/>
        <w:jc w:val="thaiDistribute"/>
        <w:rPr>
          <w:rFonts w:ascii="Times New Roman" w:hAnsi="Times New Roman" w:cs="Times New Roman"/>
          <w:sz w:val="24"/>
          <w:szCs w:val="24"/>
        </w:rPr>
      </w:pPr>
      <w:r>
        <w:rPr>
          <w:rFonts w:ascii="Times New Roman" w:hAnsi="Times New Roman" w:cs="Times New Roman"/>
          <w:sz w:val="24"/>
          <w:szCs w:val="24"/>
        </w:rPr>
        <w:t>Given such increase in both coverage and amount of the old-age allowance system in Thailand, the government budget for the program has increased considerably</w:t>
      </w:r>
      <w:r w:rsidR="005031EC">
        <w:rPr>
          <w:rFonts w:ascii="Times New Roman" w:hAnsi="Times New Roman" w:cs="Times New Roman"/>
          <w:sz w:val="24"/>
          <w:szCs w:val="24"/>
        </w:rPr>
        <w:t xml:space="preserve"> (see Figure 5)</w:t>
      </w:r>
      <w:r>
        <w:rPr>
          <w:rFonts w:ascii="Times New Roman" w:hAnsi="Times New Roman" w:cs="Times New Roman"/>
          <w:sz w:val="24"/>
          <w:szCs w:val="24"/>
        </w:rPr>
        <w:t xml:space="preserve">. </w:t>
      </w:r>
      <w:r w:rsidR="00613FA1">
        <w:rPr>
          <w:rFonts w:ascii="Times New Roman" w:hAnsi="Times New Roman" w:cs="Times New Roman"/>
          <w:sz w:val="24"/>
          <w:szCs w:val="24"/>
        </w:rPr>
        <w:t>The n</w:t>
      </w:r>
      <w:r w:rsidR="00F720A9">
        <w:rPr>
          <w:rFonts w:ascii="Times New Roman" w:hAnsi="Times New Roman" w:cs="Times New Roman"/>
          <w:sz w:val="24"/>
          <w:szCs w:val="24"/>
        </w:rPr>
        <w:t xml:space="preserve">umber of recipients has increased from 20,000 elderly persons when the system was first established in 1993 to 529,977 persons in 2005. The number then almost doubled to 1,086,484 persons in 2006 as a result of the system reform. As the Old-age Allowance System was replaced by the Universal Pension Scheme in 2009, the number again jumped from 1,772,666 persons in 2008 to 5,448,940 persons in 2009. In 2012, the Scheme covered </w:t>
      </w:r>
      <w:r w:rsidR="00F720A9" w:rsidRPr="00F720A9">
        <w:rPr>
          <w:rFonts w:ascii="Times New Roman" w:hAnsi="Times New Roman" w:cs="Times New Roman"/>
          <w:sz w:val="24"/>
          <w:szCs w:val="24"/>
        </w:rPr>
        <w:t>7</w:t>
      </w:r>
      <w:r w:rsidR="00F720A9">
        <w:rPr>
          <w:rFonts w:ascii="Times New Roman" w:hAnsi="Times New Roman" w:cs="Times New Roman"/>
          <w:sz w:val="24"/>
          <w:szCs w:val="24"/>
        </w:rPr>
        <w:t>,</w:t>
      </w:r>
      <w:r w:rsidR="00F720A9" w:rsidRPr="00F720A9">
        <w:rPr>
          <w:rFonts w:ascii="Times New Roman" w:hAnsi="Times New Roman" w:cs="Times New Roman"/>
          <w:sz w:val="24"/>
          <w:szCs w:val="24"/>
        </w:rPr>
        <w:t>045</w:t>
      </w:r>
      <w:r w:rsidR="00F720A9">
        <w:rPr>
          <w:rFonts w:ascii="Times New Roman" w:hAnsi="Times New Roman" w:cs="Times New Roman"/>
          <w:sz w:val="24"/>
          <w:szCs w:val="24"/>
        </w:rPr>
        <w:t>,</w:t>
      </w:r>
      <w:r w:rsidR="00F720A9" w:rsidRPr="00F720A9">
        <w:rPr>
          <w:rFonts w:ascii="Times New Roman" w:hAnsi="Times New Roman" w:cs="Times New Roman"/>
          <w:sz w:val="24"/>
          <w:szCs w:val="24"/>
        </w:rPr>
        <w:t>894</w:t>
      </w:r>
      <w:r w:rsidR="00F720A9">
        <w:rPr>
          <w:rFonts w:ascii="Times New Roman" w:hAnsi="Times New Roman" w:cs="Times New Roman"/>
          <w:sz w:val="24"/>
          <w:szCs w:val="24"/>
        </w:rPr>
        <w:t xml:space="preserve"> elderly persons in the country. </w:t>
      </w:r>
      <w:r w:rsidR="005031EC">
        <w:rPr>
          <w:rFonts w:ascii="Times New Roman" w:hAnsi="Times New Roman" w:cs="Times New Roman"/>
          <w:sz w:val="24"/>
          <w:szCs w:val="24"/>
        </w:rPr>
        <w:t xml:space="preserve">Similar, the government budget gradually increased from 32.0 million Baht in 1993 to 1,906.2 million Baht in 2005. In 2006, the budget more than doubled to 3,920.8 million Baht, possibly due to both an increase in allowance and the reforms of the system. After the introduction of the Universal Pension Scheme, the budget jumped from 10,620.1 million Baht in 2008 to 21,963.7 million Baht in 2009. In 2012, the government budget allocated to the Scheme was 53,608.4 million Baht. </w:t>
      </w:r>
    </w:p>
    <w:p w14:paraId="117CDE56" w14:textId="77777777" w:rsidR="00B55BD8" w:rsidRPr="00132702" w:rsidRDefault="00B55BD8" w:rsidP="00B55BD8">
      <w:pPr>
        <w:spacing w:before="120" w:after="0" w:line="360" w:lineRule="auto"/>
        <w:jc w:val="thaiDistribute"/>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243"/>
      </w:tblGrid>
      <w:tr w:rsidR="00B55BD8" w:rsidRPr="00132702" w14:paraId="4DDBC2AD" w14:textId="77777777" w:rsidTr="00196088">
        <w:tc>
          <w:tcPr>
            <w:tcW w:w="9243" w:type="dxa"/>
            <w:tcBorders>
              <w:bottom w:val="single" w:sz="4" w:space="0" w:color="auto"/>
            </w:tcBorders>
          </w:tcPr>
          <w:p w14:paraId="7E6A44BB" w14:textId="77777777" w:rsidR="00B55BD8" w:rsidRPr="00132702" w:rsidRDefault="00B55BD8" w:rsidP="00196088">
            <w:pPr>
              <w:spacing w:before="120" w:line="360" w:lineRule="auto"/>
              <w:jc w:val="center"/>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14:anchorId="6FD5E1FB" wp14:editId="7B4B3CA3">
                  <wp:extent cx="4270076" cy="2510286"/>
                  <wp:effectExtent l="0" t="0" r="0" b="444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B55BD8" w14:paraId="79FE574A" w14:textId="77777777" w:rsidTr="00196088">
        <w:tc>
          <w:tcPr>
            <w:tcW w:w="9243" w:type="dxa"/>
            <w:tcBorders>
              <w:top w:val="single" w:sz="4" w:space="0" w:color="auto"/>
              <w:left w:val="nil"/>
              <w:bottom w:val="nil"/>
              <w:right w:val="nil"/>
            </w:tcBorders>
          </w:tcPr>
          <w:p w14:paraId="02C853B9" w14:textId="77777777" w:rsidR="005D66F3" w:rsidRPr="005D66F3" w:rsidRDefault="005D66F3" w:rsidP="00B55BD8">
            <w:pPr>
              <w:spacing w:before="120" w:line="360" w:lineRule="auto"/>
              <w:jc w:val="thaiDistribute"/>
              <w:rPr>
                <w:rFonts w:ascii="Times New Roman" w:hAnsi="Times New Roman" w:cs="Times New Roman"/>
                <w:iCs/>
                <w:sz w:val="24"/>
                <w:szCs w:val="24"/>
                <w:lang w:eastAsia="ko-KR"/>
              </w:rPr>
            </w:pPr>
            <w:r w:rsidRPr="005D66F3">
              <w:rPr>
                <w:rFonts w:ascii="Times New Roman" w:hAnsi="Times New Roman" w:cs="Times New Roman"/>
                <w:sz w:val="24"/>
                <w:szCs w:val="24"/>
              </w:rPr>
              <w:t>Figure 5</w:t>
            </w:r>
            <w:r w:rsidRPr="005D66F3">
              <w:rPr>
                <w:rFonts w:ascii="Times New Roman" w:hAnsi="Times New Roman" w:cs="Times New Roman" w:hint="eastAsia"/>
                <w:sz w:val="24"/>
                <w:szCs w:val="24"/>
                <w:lang w:eastAsia="ko-KR"/>
              </w:rPr>
              <w:t>.</w:t>
            </w:r>
            <w:r w:rsidRPr="005D66F3">
              <w:rPr>
                <w:rFonts w:ascii="Times New Roman" w:hAnsi="Times New Roman" w:cs="Times New Roman"/>
                <w:sz w:val="24"/>
                <w:szCs w:val="24"/>
              </w:rPr>
              <w:t xml:space="preserve"> </w:t>
            </w:r>
            <w:r w:rsidRPr="005D66F3">
              <w:rPr>
                <w:rFonts w:ascii="Times New Roman" w:hAnsi="Times New Roman" w:cstheme="minorBidi"/>
                <w:sz w:val="24"/>
                <w:szCs w:val="24"/>
              </w:rPr>
              <w:t>Coverage and Budget for Old-age Allowance/Universal Pension Scheme</w:t>
            </w:r>
            <w:r w:rsidRPr="005D66F3">
              <w:rPr>
                <w:rFonts w:ascii="Times New Roman" w:hAnsi="Times New Roman" w:cs="Times New Roman"/>
                <w:sz w:val="24"/>
                <w:szCs w:val="24"/>
              </w:rPr>
              <w:t>, 1993-2012</w:t>
            </w:r>
          </w:p>
          <w:p w14:paraId="5A4090C2" w14:textId="77777777" w:rsidR="00B55BD8" w:rsidRDefault="00B55BD8" w:rsidP="00B55BD8">
            <w:pPr>
              <w:spacing w:before="120" w:line="360" w:lineRule="auto"/>
              <w:jc w:val="thaiDistribute"/>
              <w:rPr>
                <w:rFonts w:ascii="Times New Roman" w:hAnsi="Times New Roman" w:cs="Times New Roman"/>
                <w:sz w:val="24"/>
                <w:szCs w:val="24"/>
              </w:rPr>
            </w:pPr>
            <w:r w:rsidRPr="005D66F3">
              <w:rPr>
                <w:rFonts w:ascii="Times New Roman" w:hAnsi="Times New Roman" w:cs="Times New Roman"/>
                <w:iCs/>
                <w:sz w:val="24"/>
                <w:szCs w:val="24"/>
              </w:rPr>
              <w:t>Source</w:t>
            </w:r>
            <w:r w:rsidRPr="005D66F3">
              <w:rPr>
                <w:rFonts w:ascii="Times New Roman" w:hAnsi="Times New Roman" w:cs="Times New Roman"/>
                <w:sz w:val="24"/>
                <w:szCs w:val="24"/>
              </w:rPr>
              <w:t>: Department of Local Administration, Ministry of Interior</w:t>
            </w:r>
            <w:r>
              <w:rPr>
                <w:rFonts w:ascii="Times New Roman" w:hAnsi="Times New Roman" w:cs="Times New Roman"/>
                <w:sz w:val="20"/>
                <w:szCs w:val="20"/>
              </w:rPr>
              <w:t xml:space="preserve"> </w:t>
            </w:r>
          </w:p>
        </w:tc>
      </w:tr>
    </w:tbl>
    <w:p w14:paraId="2D67A98B" w14:textId="77777777" w:rsidR="006520F4" w:rsidRDefault="00AC2A4F" w:rsidP="006520F4">
      <w:pPr>
        <w:spacing w:before="120" w:after="0" w:line="360" w:lineRule="auto"/>
        <w:ind w:firstLine="567"/>
        <w:jc w:val="thaiDistribute"/>
        <w:rPr>
          <w:rFonts w:ascii="Times New Roman" w:hAnsi="Times New Roman" w:cs="Times New Roman"/>
          <w:sz w:val="24"/>
          <w:szCs w:val="24"/>
        </w:rPr>
      </w:pPr>
      <w:r>
        <w:rPr>
          <w:rFonts w:ascii="Times New Roman" w:hAnsi="Times New Roman" w:cs="Times New Roman"/>
          <w:sz w:val="24"/>
          <w:szCs w:val="24"/>
        </w:rPr>
        <w:t>From all policies above, i</w:t>
      </w:r>
      <w:r w:rsidRPr="00AC2A4F">
        <w:rPr>
          <w:rFonts w:ascii="Times New Roman" w:hAnsi="Times New Roman" w:cs="Times New Roman"/>
          <w:sz w:val="24"/>
          <w:szCs w:val="24"/>
        </w:rPr>
        <w:t xml:space="preserve">t is apparent that </w:t>
      </w:r>
      <w:r>
        <w:rPr>
          <w:rFonts w:ascii="Times New Roman" w:hAnsi="Times New Roman" w:cs="Times New Roman"/>
          <w:sz w:val="24"/>
          <w:szCs w:val="24"/>
        </w:rPr>
        <w:t>government policies have shifted toward social policy over the past decade or so. As a consequence, the share of government budget for social policies has increased noticeably</w:t>
      </w:r>
      <w:r w:rsidR="006B067E" w:rsidRPr="00AC2A4F">
        <w:rPr>
          <w:rFonts w:ascii="Times New Roman" w:hAnsi="Times New Roman" w:cs="Times New Roman"/>
          <w:sz w:val="24"/>
          <w:szCs w:val="24"/>
        </w:rPr>
        <w:t>.</w:t>
      </w:r>
      <w:r w:rsidR="00C62B4B">
        <w:rPr>
          <w:rFonts w:ascii="Times New Roman" w:hAnsi="Times New Roman" w:cs="Times New Roman"/>
          <w:sz w:val="24"/>
          <w:szCs w:val="24"/>
        </w:rPr>
        <w:t xml:space="preserve"> It would be interesting to see how much this policy shift affect </w:t>
      </w:r>
      <w:r w:rsidR="00D15BBF">
        <w:rPr>
          <w:rFonts w:ascii="Times New Roman" w:hAnsi="Times New Roman" w:cs="Times New Roman"/>
          <w:sz w:val="24"/>
          <w:szCs w:val="24"/>
        </w:rPr>
        <w:t xml:space="preserve">both </w:t>
      </w:r>
      <w:r w:rsidR="00C62B4B">
        <w:rPr>
          <w:rFonts w:ascii="Times New Roman" w:hAnsi="Times New Roman" w:cs="Times New Roman"/>
          <w:sz w:val="24"/>
          <w:szCs w:val="24"/>
        </w:rPr>
        <w:t>the well-being</w:t>
      </w:r>
      <w:r w:rsidR="00D15BBF">
        <w:rPr>
          <w:rFonts w:ascii="Times New Roman" w:hAnsi="Times New Roman" w:cs="Times New Roman"/>
          <w:sz w:val="24"/>
          <w:szCs w:val="24"/>
        </w:rPr>
        <w:t xml:space="preserve"> and consumption patterns </w:t>
      </w:r>
      <w:r w:rsidR="00C62B4B">
        <w:rPr>
          <w:rFonts w:ascii="Times New Roman" w:hAnsi="Times New Roman" w:cs="Times New Roman"/>
          <w:sz w:val="24"/>
          <w:szCs w:val="24"/>
        </w:rPr>
        <w:t xml:space="preserve">of the Thai people at different ages. </w:t>
      </w:r>
      <w:r w:rsidR="00D15BBF">
        <w:rPr>
          <w:rFonts w:ascii="Times New Roman" w:hAnsi="Times New Roman" w:cs="Times New Roman"/>
          <w:sz w:val="24"/>
          <w:szCs w:val="24"/>
        </w:rPr>
        <w:t>In addition</w:t>
      </w:r>
      <w:r w:rsidR="00C62B4B">
        <w:rPr>
          <w:rFonts w:ascii="Times New Roman" w:hAnsi="Times New Roman" w:cs="Times New Roman"/>
          <w:sz w:val="24"/>
          <w:szCs w:val="24"/>
        </w:rPr>
        <w:t xml:space="preserve">, given the rapid demographic transition Thailand is now facing, it is also </w:t>
      </w:r>
      <w:r w:rsidR="006520F4" w:rsidRPr="006B067E">
        <w:rPr>
          <w:rFonts w:ascii="Times New Roman" w:hAnsi="Times New Roman" w:cs="Times New Roman"/>
          <w:sz w:val="24"/>
          <w:szCs w:val="24"/>
        </w:rPr>
        <w:t xml:space="preserve">important that </w:t>
      </w:r>
      <w:r w:rsidR="00C62B4B">
        <w:rPr>
          <w:rFonts w:ascii="Times New Roman" w:hAnsi="Times New Roman" w:cs="Times New Roman"/>
          <w:sz w:val="24"/>
          <w:szCs w:val="24"/>
        </w:rPr>
        <w:t xml:space="preserve">the impact of such the demographic change </w:t>
      </w:r>
      <w:r w:rsidR="005B146F">
        <w:rPr>
          <w:rFonts w:ascii="Times New Roman" w:hAnsi="Times New Roman" w:cs="Times New Roman"/>
          <w:sz w:val="24"/>
          <w:szCs w:val="24"/>
        </w:rPr>
        <w:t>be</w:t>
      </w:r>
      <w:r w:rsidR="006520F4" w:rsidRPr="00270A75">
        <w:rPr>
          <w:rFonts w:ascii="Times New Roman" w:hAnsi="Times New Roman" w:cs="Times New Roman"/>
          <w:sz w:val="24"/>
          <w:szCs w:val="24"/>
        </w:rPr>
        <w:t xml:space="preserve"> investigated. This includes examining how the benefits from the current schemes are distributed across population ages, how family members support one another to cover their consumption needs, and how much demographic change affect the financing of these social security schemes. In order to </w:t>
      </w:r>
      <w:r w:rsidR="00D15BBF">
        <w:rPr>
          <w:rFonts w:ascii="Times New Roman" w:hAnsi="Times New Roman" w:cs="Times New Roman"/>
          <w:sz w:val="24"/>
          <w:szCs w:val="24"/>
        </w:rPr>
        <w:t>measure these effects</w:t>
      </w:r>
      <w:r w:rsidR="006520F4" w:rsidRPr="00270A75">
        <w:rPr>
          <w:rFonts w:ascii="Times New Roman" w:hAnsi="Times New Roman" w:cs="Times New Roman"/>
          <w:sz w:val="24"/>
          <w:szCs w:val="24"/>
        </w:rPr>
        <w:t>, we compile</w:t>
      </w:r>
      <w:r w:rsidR="00D15BBF">
        <w:rPr>
          <w:rFonts w:ascii="Times New Roman" w:hAnsi="Times New Roman" w:cs="Times New Roman"/>
          <w:sz w:val="24"/>
          <w:szCs w:val="24"/>
        </w:rPr>
        <w:t xml:space="preserve"> and analyze</w:t>
      </w:r>
      <w:r w:rsidR="006520F4" w:rsidRPr="00270A75">
        <w:rPr>
          <w:rFonts w:ascii="Times New Roman" w:hAnsi="Times New Roman" w:cs="Times New Roman"/>
          <w:sz w:val="24"/>
          <w:szCs w:val="24"/>
        </w:rPr>
        <w:t xml:space="preserve"> the national transfer accounts (NTA) of Thailand. Details of the compilation of NTA and the results will be dis</w:t>
      </w:r>
      <w:r w:rsidR="00C62B4B">
        <w:rPr>
          <w:rFonts w:ascii="Times New Roman" w:hAnsi="Times New Roman" w:cs="Times New Roman"/>
          <w:sz w:val="24"/>
          <w:szCs w:val="24"/>
        </w:rPr>
        <w:t>cussed in the following section</w:t>
      </w:r>
      <w:r w:rsidR="006520F4" w:rsidRPr="00270A75">
        <w:rPr>
          <w:rFonts w:ascii="Times New Roman" w:hAnsi="Times New Roman" w:cs="Times New Roman"/>
          <w:sz w:val="24"/>
          <w:szCs w:val="24"/>
        </w:rPr>
        <w:t>.</w:t>
      </w:r>
    </w:p>
    <w:p w14:paraId="7CE0167B" w14:textId="77777777" w:rsidR="003B2FF6" w:rsidRDefault="003B2FF6" w:rsidP="003B2FF6">
      <w:pPr>
        <w:spacing w:before="120" w:after="0" w:line="360" w:lineRule="auto"/>
        <w:jc w:val="thaiDistribute"/>
        <w:rPr>
          <w:rFonts w:ascii="Times New Roman" w:hAnsi="Times New Roman" w:cs="Times New Roman"/>
          <w:sz w:val="24"/>
          <w:szCs w:val="24"/>
        </w:rPr>
      </w:pPr>
    </w:p>
    <w:p w14:paraId="3BCB567C" w14:textId="77777777" w:rsidR="007D6A73" w:rsidRDefault="007D6A73" w:rsidP="006159C3">
      <w:pPr>
        <w:pStyle w:val="ListParagraph"/>
        <w:numPr>
          <w:ilvl w:val="0"/>
          <w:numId w:val="8"/>
        </w:numPr>
        <w:spacing w:before="120" w:after="0" w:line="360" w:lineRule="auto"/>
        <w:jc w:val="thaiDistribute"/>
        <w:rPr>
          <w:rFonts w:ascii="Times New Roman" w:hAnsi="Times New Roman" w:cs="Times New Roman"/>
          <w:b/>
          <w:bCs/>
          <w:iCs/>
          <w:sz w:val="24"/>
          <w:szCs w:val="24"/>
        </w:rPr>
      </w:pPr>
      <w:r w:rsidRPr="007D6A73">
        <w:rPr>
          <w:rFonts w:ascii="Times New Roman" w:hAnsi="Times New Roman" w:cs="Times New Roman"/>
          <w:b/>
          <w:bCs/>
          <w:iCs/>
          <w:sz w:val="24"/>
          <w:szCs w:val="24"/>
        </w:rPr>
        <w:t>Public Sector Accounting for Thail</w:t>
      </w:r>
      <w:r w:rsidR="003B2FF6">
        <w:rPr>
          <w:rFonts w:ascii="Times New Roman" w:hAnsi="Times New Roman" w:cs="Times New Roman"/>
          <w:b/>
          <w:bCs/>
          <w:iCs/>
          <w:sz w:val="24"/>
          <w:szCs w:val="24"/>
        </w:rPr>
        <w:t>and</w:t>
      </w:r>
    </w:p>
    <w:p w14:paraId="02C198CF" w14:textId="77777777" w:rsidR="003B2FF6" w:rsidRPr="006C1E61" w:rsidRDefault="001F4293" w:rsidP="003B2FF6">
      <w:pPr>
        <w:spacing w:before="120" w:after="0" w:line="360" w:lineRule="auto"/>
        <w:jc w:val="thaiDistribute"/>
        <w:rPr>
          <w:rFonts w:ascii="Times New Roman" w:hAnsi="Times New Roman" w:cs="Times New Roman"/>
          <w:bCs/>
          <w:iCs/>
          <w:sz w:val="24"/>
          <w:szCs w:val="24"/>
          <w:u w:val="single"/>
        </w:rPr>
      </w:pPr>
      <w:r w:rsidRPr="006C1E61">
        <w:rPr>
          <w:rFonts w:ascii="Times New Roman" w:hAnsi="Times New Roman" w:cs="Times New Roman"/>
          <w:bCs/>
          <w:iCs/>
          <w:sz w:val="24"/>
          <w:szCs w:val="24"/>
          <w:u w:val="single"/>
        </w:rPr>
        <w:t xml:space="preserve">Construction of </w:t>
      </w:r>
      <w:r w:rsidR="003B2FF6" w:rsidRPr="006C1E61">
        <w:rPr>
          <w:rFonts w:ascii="Times New Roman" w:hAnsi="Times New Roman" w:cs="Times New Roman"/>
          <w:bCs/>
          <w:iCs/>
          <w:sz w:val="24"/>
          <w:szCs w:val="24"/>
          <w:u w:val="single"/>
        </w:rPr>
        <w:t>Thai</w:t>
      </w:r>
      <w:r w:rsidR="00A11C48" w:rsidRPr="006C1E61">
        <w:rPr>
          <w:rFonts w:ascii="Times New Roman" w:hAnsi="Times New Roman" w:cs="Times New Roman"/>
          <w:bCs/>
          <w:iCs/>
          <w:sz w:val="24"/>
          <w:szCs w:val="24"/>
          <w:u w:val="single"/>
        </w:rPr>
        <w:t>land</w:t>
      </w:r>
      <w:r w:rsidR="003B2FF6" w:rsidRPr="006C1E61">
        <w:rPr>
          <w:rFonts w:ascii="Times New Roman" w:hAnsi="Times New Roman" w:cs="Times New Roman"/>
          <w:bCs/>
          <w:iCs/>
          <w:sz w:val="24"/>
          <w:szCs w:val="24"/>
          <w:u w:val="single"/>
        </w:rPr>
        <w:t xml:space="preserve"> NTA</w:t>
      </w:r>
    </w:p>
    <w:p w14:paraId="580FF4CB" w14:textId="77777777" w:rsidR="00F84106" w:rsidRPr="00270A75" w:rsidRDefault="00391506" w:rsidP="001848DA">
      <w:pPr>
        <w:spacing w:before="120" w:after="0" w:line="360" w:lineRule="auto"/>
        <w:jc w:val="thaiDistribute"/>
        <w:rPr>
          <w:rFonts w:ascii="Times New Roman" w:hAnsi="Times New Roman" w:cs="Times New Roman"/>
          <w:sz w:val="24"/>
          <w:szCs w:val="24"/>
        </w:rPr>
      </w:pPr>
      <w:r w:rsidRPr="00270A75">
        <w:rPr>
          <w:rFonts w:ascii="Times New Roman" w:hAnsi="Times New Roman" w:cs="Times New Roman"/>
          <w:sz w:val="24"/>
          <w:szCs w:val="24"/>
        </w:rPr>
        <w:t xml:space="preserve">National Transfer Accounts </w:t>
      </w:r>
      <w:r w:rsidR="00D207B7" w:rsidRPr="00270A75">
        <w:rPr>
          <w:rFonts w:ascii="Times New Roman" w:hAnsi="Times New Roman" w:cs="Times New Roman"/>
          <w:sz w:val="24"/>
          <w:szCs w:val="24"/>
        </w:rPr>
        <w:t xml:space="preserve">(NTA) is </w:t>
      </w:r>
      <w:r w:rsidR="00AA1815" w:rsidRPr="00270A75">
        <w:rPr>
          <w:rFonts w:ascii="Times New Roman" w:hAnsi="Times New Roman" w:cs="Times New Roman"/>
          <w:sz w:val="24"/>
          <w:szCs w:val="24"/>
        </w:rPr>
        <w:t>accounting system which shows</w:t>
      </w:r>
      <w:r w:rsidR="00DC4C86" w:rsidRPr="00270A75">
        <w:rPr>
          <w:rFonts w:ascii="Times New Roman" w:hAnsi="Times New Roman" w:cs="Times New Roman"/>
          <w:sz w:val="24"/>
          <w:szCs w:val="24"/>
        </w:rPr>
        <w:t xml:space="preserve"> financial sources and uses </w:t>
      </w:r>
      <w:r w:rsidR="009A420C" w:rsidRPr="00270A75">
        <w:rPr>
          <w:rFonts w:ascii="Times New Roman" w:hAnsi="Times New Roman" w:cs="Times New Roman"/>
          <w:sz w:val="24"/>
          <w:szCs w:val="24"/>
        </w:rPr>
        <w:t xml:space="preserve">across age. It is </w:t>
      </w:r>
      <w:r w:rsidR="009A420C" w:rsidRPr="007D6A73">
        <w:rPr>
          <w:rFonts w:ascii="Times New Roman" w:hAnsi="Times New Roman" w:cs="Times New Roman"/>
          <w:sz w:val="24"/>
          <w:szCs w:val="24"/>
        </w:rPr>
        <w:t>accounting</w:t>
      </w:r>
      <w:r w:rsidR="009A420C" w:rsidRPr="00270A75">
        <w:rPr>
          <w:rFonts w:ascii="Times New Roman" w:hAnsi="Times New Roman" w:cs="Times New Roman"/>
          <w:sz w:val="24"/>
          <w:szCs w:val="24"/>
        </w:rPr>
        <w:t xml:space="preserve"> system that incorporate</w:t>
      </w:r>
      <w:r w:rsidR="005B146F">
        <w:rPr>
          <w:rFonts w:ascii="Times New Roman" w:hAnsi="Times New Roman" w:cs="Times New Roman"/>
          <w:sz w:val="24"/>
          <w:szCs w:val="24"/>
        </w:rPr>
        <w:t>s the</w:t>
      </w:r>
      <w:r w:rsidR="009A420C" w:rsidRPr="00270A75">
        <w:rPr>
          <w:rFonts w:ascii="Times New Roman" w:hAnsi="Times New Roman" w:cs="Times New Roman"/>
          <w:sz w:val="24"/>
          <w:szCs w:val="24"/>
        </w:rPr>
        <w:t xml:space="preserve"> age aspect into the national income account—the macroeconomic picture of production, income and uses for an entire economy. </w:t>
      </w:r>
      <w:r w:rsidR="005B146F">
        <w:rPr>
          <w:rFonts w:ascii="Times New Roman" w:hAnsi="Times New Roman" w:cs="Times New Roman"/>
          <w:sz w:val="24"/>
          <w:szCs w:val="24"/>
        </w:rPr>
        <w:t>N</w:t>
      </w:r>
      <w:r w:rsidR="00000EC8" w:rsidRPr="00270A75">
        <w:rPr>
          <w:rFonts w:ascii="Times New Roman" w:hAnsi="Times New Roman" w:cs="Times New Roman"/>
          <w:sz w:val="24"/>
          <w:szCs w:val="24"/>
        </w:rPr>
        <w:t xml:space="preserve">ational </w:t>
      </w:r>
      <w:r w:rsidR="005B146F">
        <w:rPr>
          <w:rFonts w:ascii="Times New Roman" w:hAnsi="Times New Roman" w:cs="Times New Roman"/>
          <w:sz w:val="24"/>
          <w:szCs w:val="24"/>
        </w:rPr>
        <w:t>T</w:t>
      </w:r>
      <w:r w:rsidR="00000EC8" w:rsidRPr="00270A75">
        <w:rPr>
          <w:rFonts w:ascii="Times New Roman" w:hAnsi="Times New Roman" w:cs="Times New Roman"/>
          <w:sz w:val="24"/>
          <w:szCs w:val="24"/>
        </w:rPr>
        <w:t xml:space="preserve">ransfer </w:t>
      </w:r>
      <w:r w:rsidR="005B146F">
        <w:rPr>
          <w:rFonts w:ascii="Times New Roman" w:hAnsi="Times New Roman" w:cs="Times New Roman"/>
          <w:sz w:val="24"/>
          <w:szCs w:val="24"/>
        </w:rPr>
        <w:t>A</w:t>
      </w:r>
      <w:r w:rsidR="00000EC8" w:rsidRPr="00270A75">
        <w:rPr>
          <w:rFonts w:ascii="Times New Roman" w:hAnsi="Times New Roman" w:cs="Times New Roman"/>
          <w:sz w:val="24"/>
          <w:szCs w:val="24"/>
        </w:rPr>
        <w:t xml:space="preserve">ccounts show </w:t>
      </w:r>
      <w:r w:rsidR="005B146F">
        <w:rPr>
          <w:rFonts w:ascii="Times New Roman" w:hAnsi="Times New Roman" w:cs="Times New Roman"/>
          <w:sz w:val="24"/>
          <w:szCs w:val="24"/>
        </w:rPr>
        <w:t xml:space="preserve">the </w:t>
      </w:r>
      <w:r w:rsidR="00000EC8" w:rsidRPr="00270A75">
        <w:rPr>
          <w:rFonts w:ascii="Times New Roman" w:hAnsi="Times New Roman" w:cs="Times New Roman"/>
          <w:sz w:val="24"/>
          <w:szCs w:val="24"/>
        </w:rPr>
        <w:t>distribution</w:t>
      </w:r>
      <w:r w:rsidR="005B146F">
        <w:rPr>
          <w:rFonts w:ascii="Times New Roman" w:hAnsi="Times New Roman" w:cs="Times New Roman"/>
          <w:sz w:val="24"/>
          <w:szCs w:val="24"/>
        </w:rPr>
        <w:t>s</w:t>
      </w:r>
      <w:r w:rsidR="00000EC8" w:rsidRPr="00270A75">
        <w:rPr>
          <w:rFonts w:ascii="Times New Roman" w:hAnsi="Times New Roman" w:cs="Times New Roman"/>
          <w:sz w:val="24"/>
          <w:szCs w:val="24"/>
        </w:rPr>
        <w:t xml:space="preserve"> of labor income, consumption and transfers across population ages. It is a crucial tool for analyzing </w:t>
      </w:r>
      <w:r w:rsidR="005B146F">
        <w:rPr>
          <w:rFonts w:ascii="Times New Roman" w:hAnsi="Times New Roman" w:cs="Times New Roman"/>
          <w:sz w:val="24"/>
          <w:szCs w:val="24"/>
        </w:rPr>
        <w:t xml:space="preserve">the </w:t>
      </w:r>
      <w:r w:rsidR="00000EC8" w:rsidRPr="00270A75">
        <w:rPr>
          <w:rFonts w:ascii="Times New Roman" w:hAnsi="Times New Roman" w:cs="Times New Roman"/>
          <w:sz w:val="24"/>
          <w:szCs w:val="24"/>
        </w:rPr>
        <w:t>effects of demographic change, impact</w:t>
      </w:r>
      <w:r w:rsidR="005B146F">
        <w:rPr>
          <w:rFonts w:ascii="Times New Roman" w:hAnsi="Times New Roman" w:cs="Times New Roman"/>
          <w:sz w:val="24"/>
          <w:szCs w:val="24"/>
        </w:rPr>
        <w:t>s</w:t>
      </w:r>
      <w:r w:rsidR="00000EC8" w:rsidRPr="00270A75">
        <w:rPr>
          <w:rFonts w:ascii="Times New Roman" w:hAnsi="Times New Roman" w:cs="Times New Roman"/>
          <w:sz w:val="24"/>
          <w:szCs w:val="24"/>
        </w:rPr>
        <w:t xml:space="preserve"> of public policies</w:t>
      </w:r>
      <w:r w:rsidR="005B146F">
        <w:rPr>
          <w:rFonts w:ascii="Times New Roman" w:hAnsi="Times New Roman" w:cs="Times New Roman"/>
          <w:sz w:val="24"/>
          <w:szCs w:val="24"/>
        </w:rPr>
        <w:t>,</w:t>
      </w:r>
      <w:r w:rsidR="00000EC8" w:rsidRPr="00270A75">
        <w:rPr>
          <w:rFonts w:ascii="Times New Roman" w:hAnsi="Times New Roman" w:cs="Times New Roman"/>
          <w:sz w:val="24"/>
          <w:szCs w:val="24"/>
        </w:rPr>
        <w:t xml:space="preserve"> as well as</w:t>
      </w:r>
      <w:r w:rsidR="005B146F">
        <w:rPr>
          <w:rFonts w:ascii="Times New Roman" w:hAnsi="Times New Roman" w:cs="Times New Roman"/>
          <w:sz w:val="24"/>
          <w:szCs w:val="24"/>
        </w:rPr>
        <w:t>, the</w:t>
      </w:r>
      <w:r w:rsidR="00000EC8" w:rsidRPr="00270A75">
        <w:rPr>
          <w:rFonts w:ascii="Times New Roman" w:hAnsi="Times New Roman" w:cs="Times New Roman"/>
          <w:sz w:val="24"/>
          <w:szCs w:val="24"/>
        </w:rPr>
        <w:t xml:space="preserve"> </w:t>
      </w:r>
      <w:r w:rsidR="006517F1" w:rsidRPr="00270A75">
        <w:rPr>
          <w:rFonts w:ascii="Times New Roman" w:hAnsi="Times New Roman" w:cs="Times New Roman"/>
          <w:sz w:val="24"/>
          <w:szCs w:val="24"/>
        </w:rPr>
        <w:t xml:space="preserve">sustainability of support system across generations. </w:t>
      </w:r>
      <w:r w:rsidR="005B146F">
        <w:rPr>
          <w:rFonts w:ascii="Times New Roman" w:hAnsi="Times New Roman" w:cs="Times New Roman"/>
          <w:sz w:val="24"/>
          <w:szCs w:val="24"/>
        </w:rPr>
        <w:t>D</w:t>
      </w:r>
      <w:r w:rsidR="00C21328" w:rsidRPr="00C21328">
        <w:rPr>
          <w:rFonts w:ascii="Times New Roman" w:hAnsi="Times New Roman" w:cs="Times New Roman"/>
          <w:sz w:val="24"/>
          <w:szCs w:val="24"/>
        </w:rPr>
        <w:t xml:space="preserve">etailed information about NTA and methodology for calculating it </w:t>
      </w:r>
      <w:r w:rsidR="005B146F">
        <w:rPr>
          <w:rFonts w:ascii="Times New Roman" w:hAnsi="Times New Roman" w:cs="Times New Roman"/>
          <w:sz w:val="24"/>
          <w:szCs w:val="24"/>
        </w:rPr>
        <w:t>are</w:t>
      </w:r>
      <w:r w:rsidR="00C21328" w:rsidRPr="00C21328">
        <w:rPr>
          <w:rFonts w:ascii="Times New Roman" w:hAnsi="Times New Roman" w:cs="Times New Roman"/>
          <w:sz w:val="24"/>
          <w:szCs w:val="24"/>
        </w:rPr>
        <w:t xml:space="preserve"> available in Lee </w:t>
      </w:r>
      <w:r w:rsidR="00C21328">
        <w:rPr>
          <w:rFonts w:ascii="Times New Roman" w:hAnsi="Times New Roman" w:cs="Times New Roman"/>
          <w:sz w:val="24"/>
          <w:szCs w:val="24"/>
        </w:rPr>
        <w:t xml:space="preserve">and Mason </w:t>
      </w:r>
      <w:r w:rsidR="00C21328" w:rsidRPr="00C21328">
        <w:rPr>
          <w:rFonts w:ascii="Times New Roman" w:hAnsi="Times New Roman" w:cs="Times New Roman"/>
          <w:sz w:val="24"/>
          <w:szCs w:val="24"/>
        </w:rPr>
        <w:t>(20</w:t>
      </w:r>
      <w:r w:rsidR="00C21328">
        <w:rPr>
          <w:rFonts w:ascii="Times New Roman" w:hAnsi="Times New Roman" w:cs="Times New Roman"/>
          <w:sz w:val="24"/>
          <w:szCs w:val="24"/>
        </w:rPr>
        <w:t>1</w:t>
      </w:r>
      <w:r w:rsidR="00AB1010">
        <w:rPr>
          <w:rFonts w:ascii="Times New Roman" w:hAnsi="Times New Roman" w:cs="Times New Roman"/>
          <w:sz w:val="24"/>
          <w:szCs w:val="24"/>
        </w:rPr>
        <w:t>2</w:t>
      </w:r>
      <w:r w:rsidR="00C21328" w:rsidRPr="00C21328">
        <w:rPr>
          <w:rFonts w:ascii="Times New Roman" w:hAnsi="Times New Roman" w:cs="Times New Roman"/>
          <w:sz w:val="24"/>
          <w:szCs w:val="24"/>
        </w:rPr>
        <w:t>) or United Nations (2013).</w:t>
      </w:r>
    </w:p>
    <w:p w14:paraId="772F0768" w14:textId="77777777" w:rsidR="000C5980" w:rsidRPr="00270A75" w:rsidRDefault="001B69CE" w:rsidP="00DC4C86">
      <w:pPr>
        <w:spacing w:before="120" w:after="0" w:line="360" w:lineRule="auto"/>
        <w:ind w:firstLine="567"/>
        <w:jc w:val="thaiDistribute"/>
        <w:rPr>
          <w:rFonts w:ascii="Times New Roman" w:hAnsi="Times New Roman" w:cs="Times New Roman"/>
          <w:sz w:val="24"/>
          <w:szCs w:val="24"/>
        </w:rPr>
      </w:pPr>
      <w:r w:rsidRPr="00270A75">
        <w:rPr>
          <w:rFonts w:ascii="Times New Roman" w:hAnsi="Times New Roman" w:cs="Times New Roman"/>
          <w:sz w:val="24"/>
          <w:szCs w:val="24"/>
        </w:rPr>
        <w:t xml:space="preserve">Main data sources for </w:t>
      </w:r>
      <w:r w:rsidR="00A11C48">
        <w:rPr>
          <w:rFonts w:ascii="Times New Roman" w:hAnsi="Times New Roman" w:cs="Times New Roman"/>
          <w:sz w:val="24"/>
          <w:szCs w:val="24"/>
        </w:rPr>
        <w:t xml:space="preserve">Thailand </w:t>
      </w:r>
      <w:r w:rsidRPr="00270A75">
        <w:rPr>
          <w:rFonts w:ascii="Times New Roman" w:hAnsi="Times New Roman" w:cs="Times New Roman"/>
          <w:sz w:val="24"/>
          <w:szCs w:val="24"/>
        </w:rPr>
        <w:t>NTA include (1)</w:t>
      </w:r>
      <w:r w:rsidR="00AA3BF0" w:rsidRPr="00270A75">
        <w:rPr>
          <w:rFonts w:ascii="Times New Roman" w:hAnsi="Times New Roman" w:cs="Times New Roman"/>
          <w:sz w:val="24"/>
          <w:szCs w:val="24"/>
        </w:rPr>
        <w:t xml:space="preserve"> national account</w:t>
      </w:r>
      <w:r w:rsidRPr="00270A75">
        <w:rPr>
          <w:rFonts w:ascii="Times New Roman" w:hAnsi="Times New Roman" w:cs="Times New Roman"/>
          <w:sz w:val="24"/>
          <w:szCs w:val="24"/>
        </w:rPr>
        <w:t xml:space="preserve">, which are used as the control for the macroeconomic picture of the country; (2) </w:t>
      </w:r>
      <w:r w:rsidR="00AA3BF0" w:rsidRPr="00270A75">
        <w:rPr>
          <w:rFonts w:ascii="Times New Roman" w:hAnsi="Times New Roman" w:cs="Times New Roman"/>
          <w:sz w:val="24"/>
          <w:szCs w:val="24"/>
        </w:rPr>
        <w:t xml:space="preserve">household’s </w:t>
      </w:r>
      <w:r w:rsidRPr="00270A75">
        <w:rPr>
          <w:rFonts w:ascii="Times New Roman" w:hAnsi="Times New Roman" w:cs="Times New Roman"/>
          <w:sz w:val="24"/>
          <w:szCs w:val="24"/>
        </w:rPr>
        <w:t xml:space="preserve">socio-economic survey, which provides details on sources of income and consumption expenditures, along with assets and transfers by ages and (3) population data by ages. </w:t>
      </w:r>
      <w:r w:rsidR="00EB2361" w:rsidRPr="00270A75">
        <w:rPr>
          <w:rFonts w:ascii="Times New Roman" w:hAnsi="Times New Roman" w:cs="Times New Roman"/>
          <w:sz w:val="24"/>
          <w:szCs w:val="24"/>
        </w:rPr>
        <w:t xml:space="preserve">For </w:t>
      </w:r>
      <w:r w:rsidRPr="00270A75">
        <w:rPr>
          <w:rFonts w:ascii="Times New Roman" w:hAnsi="Times New Roman" w:cs="Times New Roman"/>
          <w:sz w:val="24"/>
          <w:szCs w:val="24"/>
        </w:rPr>
        <w:t>current NTA compilation</w:t>
      </w:r>
      <w:r w:rsidR="00EB2361" w:rsidRPr="00270A75">
        <w:rPr>
          <w:rFonts w:ascii="Times New Roman" w:hAnsi="Times New Roman" w:cs="Times New Roman"/>
          <w:sz w:val="24"/>
          <w:szCs w:val="24"/>
        </w:rPr>
        <w:t>, the year 2011 was selected</w:t>
      </w:r>
      <w:r w:rsidRPr="00270A75">
        <w:rPr>
          <w:rFonts w:ascii="Times New Roman" w:hAnsi="Times New Roman" w:cs="Times New Roman"/>
          <w:sz w:val="24"/>
          <w:szCs w:val="24"/>
        </w:rPr>
        <w:t xml:space="preserve"> as it wa</w:t>
      </w:r>
      <w:r w:rsidR="00857922" w:rsidRPr="00270A75">
        <w:rPr>
          <w:rFonts w:ascii="Times New Roman" w:hAnsi="Times New Roman" w:cs="Times New Roman"/>
          <w:sz w:val="24"/>
          <w:szCs w:val="24"/>
        </w:rPr>
        <w:t>s the year with most recent data availability for</w:t>
      </w:r>
      <w:r w:rsidR="008F7DFA" w:rsidRPr="00270A75">
        <w:rPr>
          <w:rFonts w:ascii="Times New Roman" w:hAnsi="Times New Roman" w:cs="Times New Roman"/>
          <w:sz w:val="24"/>
          <w:szCs w:val="24"/>
        </w:rPr>
        <w:t xml:space="preserve"> main data sources of </w:t>
      </w:r>
      <w:r w:rsidR="00AA3BF0" w:rsidRPr="00270A75">
        <w:rPr>
          <w:rFonts w:ascii="Times New Roman" w:hAnsi="Times New Roman" w:cs="Times New Roman"/>
          <w:sz w:val="24"/>
          <w:szCs w:val="24"/>
        </w:rPr>
        <w:t xml:space="preserve">Thailand’s </w:t>
      </w:r>
      <w:r w:rsidR="008F7DFA" w:rsidRPr="00270A75">
        <w:rPr>
          <w:rFonts w:ascii="Times New Roman" w:hAnsi="Times New Roman" w:cs="Times New Roman"/>
          <w:sz w:val="24"/>
          <w:szCs w:val="24"/>
        </w:rPr>
        <w:t>NTA.</w:t>
      </w:r>
    </w:p>
    <w:p w14:paraId="623C14B2" w14:textId="0C25C4A0" w:rsidR="006517F1" w:rsidRDefault="008F7DFA" w:rsidP="00DC4C86">
      <w:pPr>
        <w:spacing w:before="120" w:after="0" w:line="360" w:lineRule="auto"/>
        <w:ind w:firstLine="567"/>
        <w:jc w:val="thaiDistribute"/>
        <w:rPr>
          <w:rFonts w:ascii="Times New Roman" w:hAnsi="Times New Roman" w:cs="Times New Roman"/>
          <w:sz w:val="24"/>
          <w:szCs w:val="24"/>
        </w:rPr>
      </w:pPr>
      <w:r w:rsidRPr="00270A75">
        <w:rPr>
          <w:rFonts w:ascii="Times New Roman" w:hAnsi="Times New Roman" w:cs="Times New Roman"/>
          <w:sz w:val="24"/>
          <w:szCs w:val="24"/>
        </w:rPr>
        <w:t>At the time of compilation,</w:t>
      </w:r>
      <w:r w:rsidR="001848DA">
        <w:rPr>
          <w:rFonts w:ascii="Times New Roman" w:hAnsi="Times New Roman" w:cs="Times New Roman"/>
          <w:sz w:val="24"/>
          <w:szCs w:val="24"/>
        </w:rPr>
        <w:t xml:space="preserve"> </w:t>
      </w:r>
      <w:r w:rsidR="008344C3" w:rsidRPr="00270A75">
        <w:rPr>
          <w:rFonts w:ascii="Times New Roman" w:hAnsi="Times New Roman" w:cs="Times New Roman"/>
          <w:sz w:val="24"/>
          <w:szCs w:val="24"/>
        </w:rPr>
        <w:t xml:space="preserve">the annually published </w:t>
      </w:r>
      <w:r w:rsidR="00857922" w:rsidRPr="00270A75">
        <w:rPr>
          <w:rFonts w:ascii="Times New Roman" w:hAnsi="Times New Roman" w:cs="Times New Roman"/>
          <w:sz w:val="24"/>
          <w:szCs w:val="24"/>
        </w:rPr>
        <w:t>National Income</w:t>
      </w:r>
      <w:r w:rsidRPr="00270A75">
        <w:rPr>
          <w:rFonts w:ascii="Times New Roman" w:hAnsi="Times New Roman" w:cs="Times New Roman"/>
          <w:sz w:val="24"/>
          <w:szCs w:val="24"/>
        </w:rPr>
        <w:t xml:space="preserve"> of Thailand</w:t>
      </w:r>
      <w:r w:rsidR="00AA3BF0" w:rsidRPr="00270A75">
        <w:rPr>
          <w:rFonts w:ascii="Times New Roman" w:hAnsi="Times New Roman" w:cs="Times New Roman"/>
          <w:sz w:val="24"/>
          <w:szCs w:val="24"/>
        </w:rPr>
        <w:t xml:space="preserve"> for 2011—the main part of the national account system—</w:t>
      </w:r>
      <w:r w:rsidRPr="00270A75">
        <w:rPr>
          <w:rFonts w:ascii="Times New Roman" w:hAnsi="Times New Roman" w:cs="Times New Roman"/>
          <w:sz w:val="24"/>
          <w:szCs w:val="24"/>
        </w:rPr>
        <w:t xml:space="preserve">was the latest </w:t>
      </w:r>
      <w:r w:rsidR="00642BE7" w:rsidRPr="00270A75">
        <w:rPr>
          <w:rFonts w:ascii="Times New Roman" w:hAnsi="Times New Roman" w:cs="Times New Roman"/>
          <w:sz w:val="24"/>
          <w:szCs w:val="24"/>
        </w:rPr>
        <w:t>series available</w:t>
      </w:r>
      <w:r w:rsidR="00857922" w:rsidRPr="00270A75">
        <w:rPr>
          <w:rFonts w:ascii="Times New Roman" w:hAnsi="Times New Roman" w:cs="Times New Roman"/>
          <w:sz w:val="24"/>
          <w:szCs w:val="24"/>
        </w:rPr>
        <w:t xml:space="preserve">. </w:t>
      </w:r>
      <w:r w:rsidR="00642BE7" w:rsidRPr="00270A75">
        <w:rPr>
          <w:rFonts w:ascii="Times New Roman" w:hAnsi="Times New Roman" w:cs="Times New Roman"/>
          <w:sz w:val="24"/>
          <w:szCs w:val="24"/>
        </w:rPr>
        <w:t>As for</w:t>
      </w:r>
      <w:r w:rsidR="00857922" w:rsidRPr="00270A75">
        <w:rPr>
          <w:rFonts w:ascii="Times New Roman" w:hAnsi="Times New Roman" w:cs="Times New Roman"/>
          <w:sz w:val="24"/>
          <w:szCs w:val="24"/>
        </w:rPr>
        <w:t xml:space="preserve"> Socio-Economic Survey (SES) </w:t>
      </w:r>
      <w:r w:rsidR="00642BE7" w:rsidRPr="00270A75">
        <w:rPr>
          <w:rFonts w:ascii="Times New Roman" w:hAnsi="Times New Roman" w:cs="Times New Roman"/>
          <w:sz w:val="24"/>
          <w:szCs w:val="24"/>
        </w:rPr>
        <w:t>of</w:t>
      </w:r>
      <w:r w:rsidR="00857922" w:rsidRPr="00270A75">
        <w:rPr>
          <w:rFonts w:ascii="Times New Roman" w:hAnsi="Times New Roman" w:cs="Times New Roman"/>
          <w:sz w:val="24"/>
          <w:szCs w:val="24"/>
        </w:rPr>
        <w:t xml:space="preserve"> Thailand</w:t>
      </w:r>
      <w:r w:rsidR="00642BE7" w:rsidRPr="00270A75">
        <w:rPr>
          <w:rFonts w:ascii="Times New Roman" w:hAnsi="Times New Roman" w:cs="Times New Roman"/>
          <w:sz w:val="24"/>
          <w:szCs w:val="24"/>
        </w:rPr>
        <w:t>, the National Statistical Office (NSO)</w:t>
      </w:r>
      <w:r w:rsidR="00857922" w:rsidRPr="00270A75">
        <w:rPr>
          <w:rFonts w:ascii="Times New Roman" w:hAnsi="Times New Roman" w:cs="Times New Roman"/>
          <w:sz w:val="24"/>
          <w:szCs w:val="24"/>
        </w:rPr>
        <w:t xml:space="preserve"> only collect</w:t>
      </w:r>
      <w:r w:rsidR="00ED2640" w:rsidRPr="00270A75">
        <w:rPr>
          <w:rFonts w:ascii="Times New Roman" w:hAnsi="Times New Roman" w:cs="Times New Roman"/>
          <w:sz w:val="24"/>
          <w:szCs w:val="24"/>
        </w:rPr>
        <w:t>s</w:t>
      </w:r>
      <w:r w:rsidR="00857922" w:rsidRPr="00270A75">
        <w:rPr>
          <w:rFonts w:ascii="Times New Roman" w:hAnsi="Times New Roman" w:cs="Times New Roman"/>
          <w:sz w:val="24"/>
          <w:szCs w:val="24"/>
        </w:rPr>
        <w:t xml:space="preserve"> income data every 2 year while collect</w:t>
      </w:r>
      <w:r w:rsidR="00ED2640" w:rsidRPr="00270A75">
        <w:rPr>
          <w:rFonts w:ascii="Times New Roman" w:hAnsi="Times New Roman" w:cs="Times New Roman"/>
          <w:sz w:val="24"/>
          <w:szCs w:val="24"/>
        </w:rPr>
        <w:t>ing expenditure data every year.</w:t>
      </w:r>
      <w:r w:rsidR="00A11C48">
        <w:rPr>
          <w:rFonts w:ascii="Times New Roman" w:hAnsi="Times New Roman" w:cs="Times New Roman"/>
          <w:sz w:val="24"/>
          <w:szCs w:val="24"/>
        </w:rPr>
        <w:t xml:space="preserve"> </w:t>
      </w:r>
      <w:r w:rsidR="00ED2640" w:rsidRPr="00270A75">
        <w:rPr>
          <w:rFonts w:ascii="Times New Roman" w:hAnsi="Times New Roman" w:cs="Times New Roman"/>
          <w:sz w:val="24"/>
          <w:szCs w:val="24"/>
        </w:rPr>
        <w:t xml:space="preserve">The year </w:t>
      </w:r>
      <w:r w:rsidR="00857922" w:rsidRPr="00270A75">
        <w:rPr>
          <w:rFonts w:ascii="Times New Roman" w:hAnsi="Times New Roman" w:cs="Times New Roman"/>
          <w:sz w:val="24"/>
          <w:szCs w:val="24"/>
        </w:rPr>
        <w:t xml:space="preserve">2011 was the latest year that both income and expenditure data were collected. </w:t>
      </w:r>
      <w:r w:rsidR="00642BE7" w:rsidRPr="00270A75">
        <w:rPr>
          <w:rFonts w:ascii="Times New Roman" w:hAnsi="Times New Roman" w:cs="Times New Roman"/>
          <w:sz w:val="24"/>
          <w:szCs w:val="24"/>
        </w:rPr>
        <w:t xml:space="preserve">Moreover, </w:t>
      </w:r>
      <w:r w:rsidR="008C7DA8" w:rsidRPr="00270A75">
        <w:rPr>
          <w:rFonts w:ascii="Times New Roman" w:hAnsi="Times New Roman" w:cs="Times New Roman"/>
          <w:sz w:val="24"/>
          <w:szCs w:val="24"/>
        </w:rPr>
        <w:t xml:space="preserve">it </w:t>
      </w:r>
      <w:r w:rsidR="005B146F">
        <w:rPr>
          <w:rFonts w:ascii="Times New Roman" w:hAnsi="Times New Roman" w:cs="Times New Roman"/>
          <w:sz w:val="24"/>
          <w:szCs w:val="24"/>
        </w:rPr>
        <w:t>is</w:t>
      </w:r>
      <w:r w:rsidR="008C7DA8" w:rsidRPr="00270A75">
        <w:rPr>
          <w:rFonts w:ascii="Times New Roman" w:hAnsi="Times New Roman" w:cs="Times New Roman"/>
          <w:sz w:val="24"/>
          <w:szCs w:val="24"/>
        </w:rPr>
        <w:t xml:space="preserve"> also the year with the most recent Health and Welfare Survey—providing detailed data for beneficiaries of the public health service schemes at indivi</w:t>
      </w:r>
      <w:r w:rsidR="00F03E95">
        <w:rPr>
          <w:rFonts w:ascii="Times New Roman" w:hAnsi="Times New Roman" w:cs="Times New Roman"/>
          <w:sz w:val="24"/>
          <w:szCs w:val="24"/>
        </w:rPr>
        <w:t xml:space="preserve">dual level. For population </w:t>
      </w:r>
      <w:r w:rsidR="00F03E95">
        <w:rPr>
          <w:rFonts w:ascii="Times New Roman" w:hAnsi="Times New Roman" w:cs="Times New Roman" w:hint="eastAsia"/>
          <w:sz w:val="24"/>
          <w:szCs w:val="24"/>
          <w:lang w:eastAsia="ko-KR"/>
        </w:rPr>
        <w:t>projection, we use the UN Population Division</w:t>
      </w:r>
      <w:r w:rsidR="00F03E95">
        <w:rPr>
          <w:rFonts w:ascii="Times New Roman" w:hAnsi="Times New Roman" w:cs="Times New Roman"/>
          <w:sz w:val="24"/>
          <w:szCs w:val="24"/>
          <w:lang w:eastAsia="ko-KR"/>
        </w:rPr>
        <w:t>’</w:t>
      </w:r>
      <w:r w:rsidR="00F03E95">
        <w:rPr>
          <w:rFonts w:ascii="Times New Roman" w:hAnsi="Times New Roman" w:cs="Times New Roman" w:hint="eastAsia"/>
          <w:sz w:val="24"/>
          <w:szCs w:val="24"/>
          <w:lang w:eastAsia="ko-KR"/>
        </w:rPr>
        <w:t>s population projection (201</w:t>
      </w:r>
      <w:r w:rsidR="00C9482A">
        <w:rPr>
          <w:rFonts w:ascii="Times New Roman" w:hAnsi="Times New Roman" w:cs="Times New Roman"/>
          <w:sz w:val="24"/>
          <w:szCs w:val="24"/>
          <w:lang w:eastAsia="ko-KR"/>
        </w:rPr>
        <w:t>4</w:t>
      </w:r>
      <w:r w:rsidR="00F03E95">
        <w:rPr>
          <w:rFonts w:ascii="Times New Roman" w:hAnsi="Times New Roman" w:cs="Times New Roman" w:hint="eastAsia"/>
          <w:sz w:val="24"/>
          <w:szCs w:val="24"/>
          <w:lang w:eastAsia="ko-KR"/>
        </w:rPr>
        <w:t xml:space="preserve"> revision). </w:t>
      </w:r>
      <w:r w:rsidR="0058191B" w:rsidRPr="00270A75">
        <w:rPr>
          <w:rFonts w:ascii="Times New Roman" w:hAnsi="Times New Roman" w:cs="Times New Roman"/>
          <w:sz w:val="24"/>
          <w:szCs w:val="24"/>
        </w:rPr>
        <w:t xml:space="preserve"> </w:t>
      </w:r>
    </w:p>
    <w:p w14:paraId="35F2CA81" w14:textId="77777777" w:rsidR="007D6A73" w:rsidRPr="00E67368" w:rsidRDefault="007D6A73" w:rsidP="007D6A73">
      <w:pPr>
        <w:spacing w:before="120" w:after="0" w:line="360" w:lineRule="auto"/>
        <w:ind w:firstLine="567"/>
        <w:jc w:val="thaiDistribute"/>
        <w:rPr>
          <w:rFonts w:ascii="Times New Roman" w:hAnsi="Times New Roman" w:cs="Times New Roman"/>
          <w:sz w:val="24"/>
          <w:szCs w:val="24"/>
        </w:rPr>
      </w:pPr>
      <w:r>
        <w:rPr>
          <w:rFonts w:ascii="Times New Roman" w:hAnsi="Times New Roman" w:cs="Times New Roman"/>
          <w:sz w:val="24"/>
          <w:szCs w:val="24"/>
        </w:rPr>
        <w:t xml:space="preserve">Compilation of NTA normally involves 2 major steps. </w:t>
      </w:r>
      <w:r w:rsidR="005B146F">
        <w:rPr>
          <w:rFonts w:ascii="Times New Roman" w:hAnsi="Times New Roman" w:cs="Times New Roman"/>
          <w:sz w:val="24"/>
          <w:szCs w:val="24"/>
        </w:rPr>
        <w:t>The f</w:t>
      </w:r>
      <w:r>
        <w:rPr>
          <w:rFonts w:ascii="Times New Roman" w:hAnsi="Times New Roman" w:cs="Times New Roman"/>
          <w:sz w:val="24"/>
          <w:szCs w:val="24"/>
        </w:rPr>
        <w:t>irst step is the construction of aggregate control</w:t>
      </w:r>
      <w:r w:rsidR="005B146F">
        <w:rPr>
          <w:rFonts w:ascii="Times New Roman" w:hAnsi="Times New Roman" w:cs="Times New Roman"/>
          <w:sz w:val="24"/>
          <w:szCs w:val="24"/>
        </w:rPr>
        <w:t>s</w:t>
      </w:r>
      <w:r>
        <w:rPr>
          <w:rFonts w:ascii="Times New Roman" w:hAnsi="Times New Roman" w:cs="Times New Roman"/>
          <w:sz w:val="24"/>
          <w:szCs w:val="24"/>
        </w:rPr>
        <w:t>. This step is performed such that the aggregate values of the NTA are consisten</w:t>
      </w:r>
      <w:r w:rsidR="005B146F">
        <w:rPr>
          <w:rFonts w:ascii="Times New Roman" w:hAnsi="Times New Roman" w:cs="Times New Roman"/>
          <w:sz w:val="24"/>
          <w:szCs w:val="24"/>
        </w:rPr>
        <w:t>t</w:t>
      </w:r>
      <w:r>
        <w:rPr>
          <w:rFonts w:ascii="Times New Roman" w:hAnsi="Times New Roman" w:cs="Times New Roman"/>
          <w:sz w:val="24"/>
          <w:szCs w:val="24"/>
        </w:rPr>
        <w:t xml:space="preserve"> with total values of economic activities appeared in the national accounts. Then, the second step involves breaking down each of the NTA aggregate values by ages. This is usually done through construction of age profile. Details of each step for the case of Thailand are described below.</w:t>
      </w:r>
    </w:p>
    <w:p w14:paraId="3E4F8889" w14:textId="77777777" w:rsidR="007D6A73" w:rsidRDefault="007D6A73" w:rsidP="007D6A73">
      <w:pPr>
        <w:spacing w:before="120" w:after="0" w:line="360" w:lineRule="auto"/>
        <w:ind w:firstLine="567"/>
        <w:jc w:val="thaiDistribute"/>
        <w:rPr>
          <w:rFonts w:ascii="Times New Roman" w:hAnsi="Times New Roman" w:cs="Times New Roman"/>
          <w:sz w:val="24"/>
          <w:szCs w:val="24"/>
        </w:rPr>
      </w:pPr>
      <w:r>
        <w:rPr>
          <w:rFonts w:ascii="Times New Roman" w:hAnsi="Times New Roman" w:cs="Times New Roman"/>
          <w:sz w:val="24"/>
          <w:szCs w:val="24"/>
        </w:rPr>
        <w:t xml:space="preserve">Following universal practice, construction of Thailand’s NTA 2011 also began with the </w:t>
      </w:r>
      <w:r w:rsidR="005B146F">
        <w:rPr>
          <w:rFonts w:ascii="Times New Roman" w:hAnsi="Times New Roman" w:cs="Times New Roman"/>
          <w:sz w:val="24"/>
          <w:szCs w:val="24"/>
        </w:rPr>
        <w:t xml:space="preserve">construction of </w:t>
      </w:r>
      <w:r>
        <w:rPr>
          <w:rFonts w:ascii="Times New Roman" w:hAnsi="Times New Roman" w:cs="Times New Roman"/>
          <w:sz w:val="24"/>
          <w:szCs w:val="24"/>
        </w:rPr>
        <w:t>aggregate control</w:t>
      </w:r>
      <w:r w:rsidR="005B146F">
        <w:rPr>
          <w:rFonts w:ascii="Times New Roman" w:hAnsi="Times New Roman" w:cs="Times New Roman"/>
          <w:sz w:val="24"/>
          <w:szCs w:val="24"/>
        </w:rPr>
        <w:t>s</w:t>
      </w:r>
      <w:r>
        <w:rPr>
          <w:rFonts w:ascii="Times New Roman" w:hAnsi="Times New Roman" w:cs="Times New Roman"/>
          <w:sz w:val="24"/>
          <w:szCs w:val="24"/>
        </w:rPr>
        <w:t>. For all variables in the NTA flow identity, aggregate NTA values were drawn from the national account data. By doing this, the aggregate values of NTA are consistent with the national accounts, which represent</w:t>
      </w:r>
      <w:r w:rsidR="005B146F">
        <w:rPr>
          <w:rFonts w:ascii="Times New Roman" w:hAnsi="Times New Roman" w:cs="Times New Roman"/>
          <w:sz w:val="24"/>
          <w:szCs w:val="24"/>
        </w:rPr>
        <w:t>s</w:t>
      </w:r>
      <w:r>
        <w:rPr>
          <w:rFonts w:ascii="Times New Roman" w:hAnsi="Times New Roman" w:cs="Times New Roman"/>
          <w:sz w:val="24"/>
          <w:szCs w:val="24"/>
        </w:rPr>
        <w:t xml:space="preserve"> total income, expenditure and saving of the country. While some of the items of NTA can be taken directly from the national accounts, some items required adjustments to </w:t>
      </w:r>
      <w:r w:rsidR="005B146F">
        <w:rPr>
          <w:rFonts w:ascii="Times New Roman" w:hAnsi="Times New Roman" w:cs="Times New Roman"/>
          <w:sz w:val="24"/>
          <w:szCs w:val="24"/>
        </w:rPr>
        <w:t>conform with</w:t>
      </w:r>
      <w:r>
        <w:rPr>
          <w:rFonts w:ascii="Times New Roman" w:hAnsi="Times New Roman" w:cs="Times New Roman"/>
          <w:sz w:val="24"/>
          <w:szCs w:val="24"/>
        </w:rPr>
        <w:t xml:space="preserve"> concept</w:t>
      </w:r>
      <w:r w:rsidR="005B146F">
        <w:rPr>
          <w:rFonts w:ascii="Times New Roman" w:hAnsi="Times New Roman" w:cs="Times New Roman"/>
          <w:sz w:val="24"/>
          <w:szCs w:val="24"/>
        </w:rPr>
        <w:t>s</w:t>
      </w:r>
      <w:r>
        <w:rPr>
          <w:rFonts w:ascii="Times New Roman" w:hAnsi="Times New Roman" w:cs="Times New Roman"/>
          <w:sz w:val="24"/>
          <w:szCs w:val="24"/>
        </w:rPr>
        <w:t xml:space="preserve"> and definition</w:t>
      </w:r>
      <w:r w:rsidR="005B146F">
        <w:rPr>
          <w:rFonts w:ascii="Times New Roman" w:hAnsi="Times New Roman" w:cs="Times New Roman"/>
          <w:sz w:val="24"/>
          <w:szCs w:val="24"/>
        </w:rPr>
        <w:t>s employed in</w:t>
      </w:r>
      <w:r>
        <w:rPr>
          <w:rFonts w:ascii="Times New Roman" w:hAnsi="Times New Roman" w:cs="Times New Roman"/>
          <w:sz w:val="24"/>
          <w:szCs w:val="24"/>
        </w:rPr>
        <w:t xml:space="preserve"> NTA. For items in which definitions of NTA and the system of national accounts (SNA) differ, the adjustments were made following the NTA Manual. </w:t>
      </w:r>
    </w:p>
    <w:p w14:paraId="0C35C92A" w14:textId="77777777" w:rsidR="007D6A73" w:rsidRDefault="007D6A73" w:rsidP="007D6A73">
      <w:pPr>
        <w:spacing w:before="120" w:after="0" w:line="360" w:lineRule="auto"/>
        <w:ind w:firstLine="567"/>
        <w:jc w:val="thaiDistribute"/>
        <w:rPr>
          <w:rFonts w:ascii="Times New Roman" w:hAnsi="Times New Roman" w:cs="Times New Roman"/>
          <w:sz w:val="24"/>
          <w:szCs w:val="24"/>
        </w:rPr>
      </w:pPr>
      <w:r>
        <w:rPr>
          <w:rFonts w:ascii="Times New Roman" w:hAnsi="Times New Roman" w:cs="Times New Roman"/>
          <w:sz w:val="24"/>
          <w:szCs w:val="24"/>
        </w:rPr>
        <w:t xml:space="preserve">The methodology in the </w:t>
      </w:r>
      <w:r w:rsidR="00C21328">
        <w:rPr>
          <w:rFonts w:ascii="Times New Roman" w:hAnsi="Times New Roman" w:cs="Times New Roman"/>
          <w:sz w:val="24"/>
          <w:szCs w:val="24"/>
        </w:rPr>
        <w:t xml:space="preserve">United Nation’s (2013) </w:t>
      </w:r>
      <w:r>
        <w:rPr>
          <w:rFonts w:ascii="Times New Roman" w:hAnsi="Times New Roman" w:cs="Times New Roman"/>
          <w:sz w:val="24"/>
          <w:szCs w:val="24"/>
        </w:rPr>
        <w:t>NTA Manual is based on the latest concept of SNA, namely SNA1993 and SNA2008. SNA 1993 is considered a major overhaul—both conceptually and methodologically from its pre</w:t>
      </w:r>
      <w:r w:rsidR="005B146F">
        <w:rPr>
          <w:rFonts w:ascii="Times New Roman" w:hAnsi="Times New Roman" w:cs="Times New Roman"/>
          <w:sz w:val="24"/>
          <w:szCs w:val="24"/>
        </w:rPr>
        <w:t>decessor</w:t>
      </w:r>
      <w:r>
        <w:rPr>
          <w:rFonts w:ascii="Times New Roman" w:hAnsi="Times New Roman" w:cs="Times New Roman"/>
          <w:sz w:val="24"/>
          <w:szCs w:val="24"/>
        </w:rPr>
        <w:t xml:space="preserve">, SNA 1968. The concepts and methods employed in the national accounts of Thailand have been mostly updated to the SNA 1993, with some items meeting SNA 2008 standard. However, there are still some areas in which the national accounts of Thailand have not yet reached the SNA 1993 standard. In particular, the disaggregation of the total economy into institutional sectors has not been completed for the full sequence of the national accounts. This means that there exist some items in which the disaggregated values into institutional sectors were required for NTA but data from national accounts of Thailand </w:t>
      </w:r>
      <w:r w:rsidR="005B146F">
        <w:rPr>
          <w:rFonts w:ascii="Times New Roman" w:hAnsi="Times New Roman" w:cs="Times New Roman"/>
          <w:sz w:val="24"/>
          <w:szCs w:val="24"/>
        </w:rPr>
        <w:t>that were</w:t>
      </w:r>
      <w:r>
        <w:rPr>
          <w:rFonts w:ascii="Times New Roman" w:hAnsi="Times New Roman" w:cs="Times New Roman"/>
          <w:sz w:val="24"/>
          <w:szCs w:val="24"/>
        </w:rPr>
        <w:t xml:space="preserve"> not available. Accordingly, some further adjustments were made in the process of constructing the aggregate Thailand’s NTA 2011 on these items. </w:t>
      </w:r>
    </w:p>
    <w:p w14:paraId="0672F820" w14:textId="77777777" w:rsidR="007D6A73" w:rsidRDefault="007D6A73" w:rsidP="007D6A73">
      <w:pPr>
        <w:spacing w:before="120" w:after="0" w:line="360" w:lineRule="auto"/>
        <w:ind w:firstLine="567"/>
        <w:jc w:val="thaiDistribute"/>
        <w:rPr>
          <w:rFonts w:ascii="Times New Roman" w:hAnsi="Times New Roman" w:cs="Times New Roman"/>
          <w:sz w:val="24"/>
          <w:szCs w:val="24"/>
        </w:rPr>
      </w:pPr>
      <w:r>
        <w:rPr>
          <w:rFonts w:ascii="Times New Roman" w:hAnsi="Times New Roman" w:cs="Times New Roman"/>
          <w:sz w:val="24"/>
          <w:szCs w:val="24"/>
        </w:rPr>
        <w:t xml:space="preserve">Once the aggregate NTA was constructed, the next step is to break down each variable of NTA by ages. This step was compiled using the SES data. The estimation methods followed mostly from the NTA Manual, with </w:t>
      </w:r>
      <w:r w:rsidR="00196088">
        <w:rPr>
          <w:rFonts w:ascii="Times New Roman" w:hAnsi="Times New Roman" w:cs="Times New Roman"/>
          <w:sz w:val="24"/>
          <w:szCs w:val="24"/>
        </w:rPr>
        <w:t xml:space="preserve">a </w:t>
      </w:r>
      <w:r>
        <w:rPr>
          <w:rFonts w:ascii="Times New Roman" w:hAnsi="Times New Roman" w:cs="Times New Roman"/>
          <w:sz w:val="24"/>
          <w:szCs w:val="24"/>
        </w:rPr>
        <w:t xml:space="preserve">few exceptions. One of the exceptions is the estimation of public health consumption. In Thailand, the National Health Accounts (NHA) has been compiled for the year 1994-2001. Accordingly, the structure of public expenditure for the 3 healthcare schemes from the NHA, together with the data from Health and Welfare Survey 2011 were employed to construct the age profile of public health consumption. Another exception involves the construction of private asset income. The national accounts of Thailand only provide net property income data. Accordingly, the age profile for private asset income was estimated at the net property income level instead of constructing the outflows and inflows separately. The smoothing (where applicable) and adjusting to aggregate control for all variables also followed </w:t>
      </w:r>
      <w:r w:rsidR="00C21328">
        <w:rPr>
          <w:rFonts w:ascii="Times New Roman" w:hAnsi="Times New Roman" w:cs="Times New Roman"/>
          <w:sz w:val="24"/>
          <w:szCs w:val="24"/>
        </w:rPr>
        <w:t xml:space="preserve">the </w:t>
      </w:r>
      <w:r>
        <w:rPr>
          <w:rFonts w:ascii="Times New Roman" w:hAnsi="Times New Roman" w:cs="Times New Roman"/>
          <w:sz w:val="24"/>
          <w:szCs w:val="24"/>
        </w:rPr>
        <w:t>NTA Manual.</w:t>
      </w:r>
    </w:p>
    <w:p w14:paraId="03A58905" w14:textId="77777777" w:rsidR="00C21328" w:rsidRDefault="00C21328" w:rsidP="001F4293">
      <w:pPr>
        <w:spacing w:before="120" w:after="0" w:line="360" w:lineRule="auto"/>
        <w:jc w:val="thaiDistribute"/>
        <w:rPr>
          <w:rFonts w:ascii="Times New Roman" w:hAnsi="Times New Roman" w:cs="Times New Roman"/>
          <w:i/>
          <w:sz w:val="24"/>
          <w:szCs w:val="24"/>
        </w:rPr>
      </w:pPr>
    </w:p>
    <w:p w14:paraId="00862A6F" w14:textId="19548F13" w:rsidR="001F4293" w:rsidRDefault="00B80E8D" w:rsidP="001F4293">
      <w:pPr>
        <w:spacing w:before="120" w:after="0" w:line="360" w:lineRule="auto"/>
        <w:jc w:val="thaiDistribute"/>
        <w:rPr>
          <w:rFonts w:ascii="Times New Roman" w:hAnsi="Times New Roman" w:cs="Times New Roman"/>
          <w:sz w:val="24"/>
          <w:szCs w:val="24"/>
          <w:u w:val="single"/>
        </w:rPr>
      </w:pPr>
      <w:r>
        <w:rPr>
          <w:rFonts w:ascii="Times New Roman" w:hAnsi="Times New Roman" w:cs="Times New Roman"/>
          <w:sz w:val="24"/>
          <w:szCs w:val="24"/>
          <w:u w:val="single"/>
        </w:rPr>
        <w:t xml:space="preserve">Per Capita </w:t>
      </w:r>
      <w:r w:rsidR="00634FEE">
        <w:rPr>
          <w:rFonts w:ascii="Times New Roman" w:hAnsi="Times New Roman" w:cs="Times New Roman"/>
          <w:sz w:val="24"/>
          <w:szCs w:val="24"/>
          <w:u w:val="single"/>
        </w:rPr>
        <w:t>Age P</w:t>
      </w:r>
      <w:r w:rsidR="001F4293" w:rsidRPr="006C1E61">
        <w:rPr>
          <w:rFonts w:ascii="Times New Roman" w:hAnsi="Times New Roman" w:cs="Times New Roman"/>
          <w:sz w:val="24"/>
          <w:szCs w:val="24"/>
          <w:u w:val="single"/>
        </w:rPr>
        <w:t>rofiles</w:t>
      </w:r>
      <w:r w:rsidR="00634FEE">
        <w:rPr>
          <w:rFonts w:ascii="Times New Roman" w:hAnsi="Times New Roman" w:cs="Times New Roman"/>
          <w:sz w:val="24"/>
          <w:szCs w:val="24"/>
          <w:u w:val="single"/>
        </w:rPr>
        <w:t xml:space="preserve"> and Aggregate Features</w:t>
      </w:r>
    </w:p>
    <w:p w14:paraId="30BED8A9" w14:textId="6C75D9D8" w:rsidR="009B5D08" w:rsidRPr="00135F1C" w:rsidRDefault="009B5D08" w:rsidP="009B5D08">
      <w:pPr>
        <w:spacing w:before="120" w:after="0" w:line="360" w:lineRule="auto"/>
        <w:jc w:val="thaiDistribute"/>
        <w:rPr>
          <w:rFonts w:ascii="Times New Roman" w:hAnsi="Times New Roman" w:cs="Times New Roman"/>
          <w:sz w:val="24"/>
          <w:szCs w:val="24"/>
        </w:rPr>
      </w:pPr>
      <w:r w:rsidRPr="00135F1C">
        <w:rPr>
          <w:rFonts w:ascii="Times New Roman" w:hAnsi="Times New Roman" w:cs="Times New Roman"/>
          <w:sz w:val="24"/>
          <w:szCs w:val="24"/>
        </w:rPr>
        <w:t xml:space="preserve">Figure 6 presents the lifecycle profile of per capita </w:t>
      </w:r>
      <w:r>
        <w:rPr>
          <w:rFonts w:ascii="Times New Roman" w:hAnsi="Times New Roman" w:cs="Times New Roman"/>
          <w:sz w:val="24"/>
          <w:szCs w:val="24"/>
        </w:rPr>
        <w:t>labor income</w:t>
      </w:r>
      <w:r w:rsidRPr="00135F1C">
        <w:rPr>
          <w:rFonts w:ascii="Times New Roman" w:hAnsi="Times New Roman" w:cs="Times New Roman"/>
          <w:sz w:val="24"/>
          <w:szCs w:val="24"/>
        </w:rPr>
        <w:t xml:space="preserve"> and consumption in </w:t>
      </w:r>
      <w:r>
        <w:rPr>
          <w:rFonts w:ascii="Times New Roman" w:hAnsi="Times New Roman" w:cs="Times New Roman"/>
          <w:sz w:val="24"/>
          <w:szCs w:val="24"/>
        </w:rPr>
        <w:t>Thailand. The numbers are normalized by per capita labor income of 30-49 (</w:t>
      </w:r>
      <w:r w:rsidRPr="009B5D08">
        <w:rPr>
          <w:rFonts w:ascii="Times New Roman" w:hAnsi="Times New Roman" w:cs="Times New Roman"/>
          <w:sz w:val="24"/>
          <w:szCs w:val="24"/>
        </w:rPr>
        <w:t>YoLY hereafter)</w:t>
      </w:r>
      <w:r>
        <w:rPr>
          <w:rFonts w:ascii="Times New Roman" w:hAnsi="Times New Roman" w:cs="Times New Roman"/>
          <w:sz w:val="24"/>
          <w:szCs w:val="24"/>
        </w:rPr>
        <w:t xml:space="preserve">. The figure </w:t>
      </w:r>
      <w:r w:rsidRPr="00135F1C">
        <w:rPr>
          <w:rFonts w:ascii="Times New Roman" w:hAnsi="Times New Roman" w:cs="Times New Roman"/>
          <w:sz w:val="24"/>
          <w:szCs w:val="24"/>
        </w:rPr>
        <w:t>indicates that the lifecycle surplus extends for a period of 3</w:t>
      </w:r>
      <w:r w:rsidR="00461634">
        <w:rPr>
          <w:rFonts w:ascii="Times New Roman" w:hAnsi="Times New Roman" w:cs="Times New Roman"/>
          <w:sz w:val="24"/>
          <w:szCs w:val="24"/>
        </w:rPr>
        <w:t>1</w:t>
      </w:r>
      <w:r w:rsidRPr="00135F1C">
        <w:rPr>
          <w:rFonts w:ascii="Times New Roman" w:hAnsi="Times New Roman" w:cs="Times New Roman"/>
          <w:sz w:val="24"/>
          <w:szCs w:val="24"/>
        </w:rPr>
        <w:t xml:space="preserve"> years, from age </w:t>
      </w:r>
      <w:r w:rsidR="00461634">
        <w:rPr>
          <w:rFonts w:ascii="Times New Roman" w:hAnsi="Times New Roman" w:cs="Times New Roman"/>
          <w:sz w:val="24"/>
          <w:szCs w:val="24"/>
        </w:rPr>
        <w:t>29</w:t>
      </w:r>
      <w:r w:rsidRPr="00135F1C">
        <w:rPr>
          <w:rFonts w:ascii="Times New Roman" w:hAnsi="Times New Roman" w:cs="Times New Roman"/>
          <w:sz w:val="24"/>
          <w:szCs w:val="24"/>
        </w:rPr>
        <w:t xml:space="preserve"> to age 5</w:t>
      </w:r>
      <w:r w:rsidR="00461634">
        <w:rPr>
          <w:rFonts w:ascii="Times New Roman" w:hAnsi="Times New Roman" w:cs="Times New Roman"/>
          <w:sz w:val="24"/>
          <w:szCs w:val="24"/>
        </w:rPr>
        <w:t>9</w:t>
      </w:r>
      <w:r w:rsidRPr="00135F1C">
        <w:rPr>
          <w:rFonts w:ascii="Times New Roman" w:hAnsi="Times New Roman" w:cs="Times New Roman"/>
          <w:sz w:val="24"/>
          <w:szCs w:val="24"/>
        </w:rPr>
        <w:t xml:space="preserve">. In </w:t>
      </w:r>
      <w:r>
        <w:rPr>
          <w:rFonts w:ascii="Times New Roman" w:hAnsi="Times New Roman" w:cs="Times New Roman"/>
          <w:sz w:val="24"/>
          <w:szCs w:val="24"/>
        </w:rPr>
        <w:t>Thailand</w:t>
      </w:r>
      <w:r w:rsidRPr="00135F1C">
        <w:rPr>
          <w:rFonts w:ascii="Times New Roman" w:hAnsi="Times New Roman" w:cs="Times New Roman"/>
          <w:sz w:val="24"/>
          <w:szCs w:val="24"/>
        </w:rPr>
        <w:t>, consumption peaks in the late teens and decreases until the 40s. Such a decline in consumption was also found in other countries</w:t>
      </w:r>
      <w:r>
        <w:rPr>
          <w:rFonts w:ascii="Times New Roman" w:hAnsi="Times New Roman" w:cs="Times New Roman"/>
          <w:sz w:val="24"/>
          <w:szCs w:val="24"/>
        </w:rPr>
        <w:t xml:space="preserve"> such as South Korea</w:t>
      </w:r>
      <w:r w:rsidRPr="00135F1C">
        <w:rPr>
          <w:rFonts w:ascii="Times New Roman" w:hAnsi="Times New Roman" w:cs="Times New Roman"/>
          <w:sz w:val="24"/>
          <w:szCs w:val="24"/>
        </w:rPr>
        <w:t xml:space="preserve"> as a result of decreasing expenditure on education. </w:t>
      </w:r>
      <w:r w:rsidR="00461634">
        <w:rPr>
          <w:rFonts w:ascii="Times New Roman" w:hAnsi="Times New Roman" w:cs="Times New Roman"/>
          <w:sz w:val="24"/>
          <w:szCs w:val="24"/>
        </w:rPr>
        <w:t>However, unlike South Korea, t</w:t>
      </w:r>
      <w:r w:rsidR="00461634" w:rsidRPr="00461634">
        <w:rPr>
          <w:rFonts w:ascii="Times New Roman" w:hAnsi="Times New Roman" w:cs="Times New Roman"/>
          <w:sz w:val="24"/>
          <w:szCs w:val="24"/>
        </w:rPr>
        <w:t xml:space="preserve">his </w:t>
      </w:r>
      <w:r w:rsidR="00461634">
        <w:rPr>
          <w:rFonts w:ascii="Times New Roman" w:hAnsi="Times New Roman" w:cs="Times New Roman"/>
          <w:sz w:val="24"/>
          <w:szCs w:val="24"/>
        </w:rPr>
        <w:t>r</w:t>
      </w:r>
      <w:r w:rsidR="00461634" w:rsidRPr="00461634">
        <w:rPr>
          <w:rFonts w:ascii="Times New Roman" w:hAnsi="Times New Roman" w:cs="Times New Roman"/>
          <w:sz w:val="24"/>
          <w:szCs w:val="24"/>
        </w:rPr>
        <w:t xml:space="preserve">esult </w:t>
      </w:r>
      <w:r w:rsidR="00461634">
        <w:rPr>
          <w:rFonts w:ascii="Times New Roman" w:hAnsi="Times New Roman" w:cs="Times New Roman"/>
          <w:sz w:val="24"/>
          <w:szCs w:val="24"/>
        </w:rPr>
        <w:t>is</w:t>
      </w:r>
      <w:r w:rsidR="00461634" w:rsidRPr="00461634">
        <w:rPr>
          <w:rFonts w:ascii="Times New Roman" w:hAnsi="Times New Roman" w:cs="Times New Roman"/>
          <w:sz w:val="24"/>
          <w:szCs w:val="24"/>
        </w:rPr>
        <w:t xml:space="preserve"> related to the high level of </w:t>
      </w:r>
      <w:r w:rsidR="00461634" w:rsidRPr="00135F1C">
        <w:rPr>
          <w:rFonts w:ascii="Times New Roman" w:hAnsi="Times New Roman" w:cs="Times New Roman"/>
          <w:i/>
          <w:sz w:val="24"/>
          <w:szCs w:val="24"/>
        </w:rPr>
        <w:t>public</w:t>
      </w:r>
      <w:r w:rsidR="00461634" w:rsidRPr="00461634">
        <w:rPr>
          <w:rFonts w:ascii="Times New Roman" w:hAnsi="Times New Roman" w:cs="Times New Roman"/>
          <w:sz w:val="24"/>
          <w:szCs w:val="24"/>
        </w:rPr>
        <w:t xml:space="preserve"> education </w:t>
      </w:r>
      <w:r w:rsidR="00461634">
        <w:rPr>
          <w:rFonts w:ascii="Times New Roman" w:hAnsi="Times New Roman" w:cs="Times New Roman"/>
          <w:sz w:val="24"/>
          <w:szCs w:val="24"/>
        </w:rPr>
        <w:t>spending</w:t>
      </w:r>
      <w:r w:rsidR="00461634" w:rsidRPr="00461634">
        <w:rPr>
          <w:rFonts w:ascii="Times New Roman" w:hAnsi="Times New Roman" w:cs="Times New Roman"/>
          <w:sz w:val="24"/>
          <w:szCs w:val="24"/>
        </w:rPr>
        <w:t xml:space="preserve"> in </w:t>
      </w:r>
      <w:r w:rsidR="00461634">
        <w:rPr>
          <w:rFonts w:ascii="Times New Roman" w:hAnsi="Times New Roman" w:cs="Times New Roman"/>
          <w:sz w:val="24"/>
          <w:szCs w:val="24"/>
        </w:rPr>
        <w:t xml:space="preserve">Thailand. </w:t>
      </w:r>
      <w:r w:rsidR="00461634" w:rsidRPr="00461634">
        <w:rPr>
          <w:rFonts w:ascii="Times New Roman" w:hAnsi="Times New Roman" w:cs="Times New Roman"/>
          <w:sz w:val="24"/>
          <w:szCs w:val="24"/>
        </w:rPr>
        <w:t>The wage profile shows a peak in the mid-</w:t>
      </w:r>
      <w:r w:rsidR="00461634">
        <w:rPr>
          <w:rFonts w:ascii="Times New Roman" w:hAnsi="Times New Roman" w:cs="Times New Roman"/>
          <w:sz w:val="24"/>
          <w:szCs w:val="24"/>
        </w:rPr>
        <w:t>5</w:t>
      </w:r>
      <w:r w:rsidR="00461634" w:rsidRPr="00461634">
        <w:rPr>
          <w:rFonts w:ascii="Times New Roman" w:hAnsi="Times New Roman" w:cs="Times New Roman"/>
          <w:sz w:val="24"/>
          <w:szCs w:val="24"/>
        </w:rPr>
        <w:t>0s, whereas self-employment income reaches a peak in the mid-40s. Self-employment income is substantial for those in their mid-40s:</w:t>
      </w:r>
    </w:p>
    <w:p w14:paraId="05834E03" w14:textId="23E94F9A" w:rsidR="00B80E8D" w:rsidRPr="006C1E61" w:rsidRDefault="000B0B1D" w:rsidP="001F4293">
      <w:pPr>
        <w:spacing w:before="120" w:after="0" w:line="360" w:lineRule="auto"/>
        <w:jc w:val="thaiDistribute"/>
        <w:rPr>
          <w:rFonts w:ascii="Times New Roman" w:hAnsi="Times New Roman" w:cs="Times New Roman"/>
          <w:sz w:val="24"/>
          <w:szCs w:val="24"/>
          <w:u w:val="single"/>
        </w:rPr>
      </w:pPr>
      <w:r>
        <w:rPr>
          <w:noProof/>
          <w:lang w:bidi="ar-SA"/>
        </w:rPr>
        <w:drawing>
          <wp:inline distT="0" distB="0" distL="0" distR="0" wp14:anchorId="489F9E76" wp14:editId="3D4E5D15">
            <wp:extent cx="4572000" cy="2743200"/>
            <wp:effectExtent l="0" t="0" r="0" b="0"/>
            <wp:docPr id="106"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5C2DECC" w14:textId="0F4A1A11" w:rsidR="000B0B1D" w:rsidRPr="000B0B1D" w:rsidRDefault="000B0B1D" w:rsidP="000B0B1D">
      <w:pPr>
        <w:spacing w:before="120" w:after="0" w:line="360" w:lineRule="auto"/>
        <w:jc w:val="thaiDistribute"/>
        <w:rPr>
          <w:rFonts w:ascii="Times New Roman" w:hAnsi="Times New Roman" w:cs="Times New Roman"/>
          <w:sz w:val="24"/>
          <w:szCs w:val="24"/>
        </w:rPr>
      </w:pPr>
      <w:r>
        <w:rPr>
          <w:rFonts w:ascii="Times New Roman" w:hAnsi="Times New Roman" w:cs="Times New Roman"/>
          <w:sz w:val="24"/>
          <w:szCs w:val="24"/>
        </w:rPr>
        <w:t>Figure 6. Economic lifecycle, normalized by labor income of 30-49</w:t>
      </w:r>
      <w:r w:rsidR="00785C64">
        <w:rPr>
          <w:rFonts w:ascii="Times New Roman" w:hAnsi="Times New Roman" w:cs="Times New Roman"/>
          <w:sz w:val="24"/>
          <w:szCs w:val="24"/>
        </w:rPr>
        <w:t xml:space="preserve"> (YoLY)</w:t>
      </w:r>
      <w:r>
        <w:rPr>
          <w:rFonts w:ascii="Times New Roman" w:hAnsi="Times New Roman" w:cs="Times New Roman"/>
          <w:sz w:val="24"/>
          <w:szCs w:val="24"/>
        </w:rPr>
        <w:t>. Thailand 2011.</w:t>
      </w:r>
    </w:p>
    <w:p w14:paraId="1DE94B50" w14:textId="4FEA2F65" w:rsidR="000B0B1D" w:rsidRDefault="000B0B1D" w:rsidP="000B0B1D">
      <w:pPr>
        <w:spacing w:before="120" w:after="0" w:line="360" w:lineRule="auto"/>
        <w:jc w:val="thaiDistribute"/>
        <w:rPr>
          <w:rFonts w:ascii="Times New Roman" w:hAnsi="Times New Roman" w:cs="Times New Roman"/>
          <w:sz w:val="24"/>
          <w:szCs w:val="24"/>
        </w:rPr>
      </w:pPr>
      <w:r w:rsidRPr="000B0B1D">
        <w:rPr>
          <w:rFonts w:ascii="Times New Roman" w:hAnsi="Times New Roman" w:cs="Times New Roman"/>
          <w:sz w:val="24"/>
          <w:szCs w:val="24"/>
        </w:rPr>
        <w:t>Source: www.ntaccounts.org. Accessed October 1, 2015.</w:t>
      </w:r>
    </w:p>
    <w:p w14:paraId="36169ED8" w14:textId="3676261D" w:rsidR="00C21328" w:rsidRPr="00C21328" w:rsidRDefault="00C21328" w:rsidP="00135F1C">
      <w:pPr>
        <w:spacing w:before="120" w:after="0" w:line="360" w:lineRule="auto"/>
        <w:ind w:firstLine="720"/>
        <w:jc w:val="thaiDistribute"/>
        <w:rPr>
          <w:rFonts w:ascii="Times New Roman" w:hAnsi="Times New Roman" w:cs="Times New Roman"/>
          <w:sz w:val="24"/>
          <w:szCs w:val="24"/>
        </w:rPr>
      </w:pPr>
      <w:r w:rsidRPr="00C21328">
        <w:rPr>
          <w:rFonts w:ascii="Times New Roman" w:hAnsi="Times New Roman" w:cs="Times New Roman"/>
          <w:sz w:val="24"/>
          <w:szCs w:val="24"/>
        </w:rPr>
        <w:t>Th</w:t>
      </w:r>
      <w:r w:rsidR="000B0B1D">
        <w:rPr>
          <w:rFonts w:ascii="Times New Roman" w:hAnsi="Times New Roman" w:cs="Times New Roman"/>
          <w:sz w:val="24"/>
          <w:szCs w:val="24"/>
        </w:rPr>
        <w:t>e</w:t>
      </w:r>
      <w:r w:rsidRPr="00C21328">
        <w:rPr>
          <w:rFonts w:ascii="Times New Roman" w:hAnsi="Times New Roman" w:cs="Times New Roman"/>
          <w:sz w:val="24"/>
          <w:szCs w:val="24"/>
        </w:rPr>
        <w:t xml:space="preserve"> direct impact of changes in population age structure </w:t>
      </w:r>
      <w:r w:rsidR="008B2094">
        <w:rPr>
          <w:rFonts w:ascii="Times New Roman" w:hAnsi="Times New Roman" w:cs="Times New Roman"/>
          <w:sz w:val="24"/>
          <w:szCs w:val="24"/>
        </w:rPr>
        <w:t xml:space="preserve">in Thailand </w:t>
      </w:r>
      <w:r w:rsidRPr="00C21328">
        <w:rPr>
          <w:rFonts w:ascii="Times New Roman" w:hAnsi="Times New Roman" w:cs="Times New Roman"/>
          <w:sz w:val="24"/>
          <w:szCs w:val="24"/>
        </w:rPr>
        <w:t xml:space="preserve">can be described as the change in the number of consumers per worker. Figure </w:t>
      </w:r>
      <w:r w:rsidR="00461634">
        <w:rPr>
          <w:rFonts w:ascii="Times New Roman" w:hAnsi="Times New Roman" w:cs="Times New Roman"/>
          <w:sz w:val="24"/>
          <w:szCs w:val="24"/>
        </w:rPr>
        <w:t>7</w:t>
      </w:r>
      <w:r w:rsidRPr="00C21328">
        <w:rPr>
          <w:rFonts w:ascii="Times New Roman" w:hAnsi="Times New Roman" w:cs="Times New Roman"/>
          <w:sz w:val="24"/>
          <w:szCs w:val="24"/>
        </w:rPr>
        <w:t xml:space="preserve"> show</w:t>
      </w:r>
      <w:r w:rsidR="008B2094">
        <w:rPr>
          <w:rFonts w:ascii="Times New Roman" w:hAnsi="Times New Roman" w:cs="Times New Roman"/>
          <w:sz w:val="24"/>
          <w:szCs w:val="24"/>
        </w:rPr>
        <w:t>s</w:t>
      </w:r>
      <w:r w:rsidRPr="00C21328">
        <w:rPr>
          <w:rFonts w:ascii="Times New Roman" w:hAnsi="Times New Roman" w:cs="Times New Roman"/>
          <w:sz w:val="24"/>
          <w:szCs w:val="24"/>
        </w:rPr>
        <w:t xml:space="preserve"> how </w:t>
      </w:r>
      <w:r w:rsidR="008B2094">
        <w:rPr>
          <w:rFonts w:ascii="Times New Roman" w:hAnsi="Times New Roman" w:cs="Times New Roman"/>
          <w:sz w:val="24"/>
          <w:szCs w:val="24"/>
        </w:rPr>
        <w:t xml:space="preserve">Thai </w:t>
      </w:r>
      <w:r w:rsidRPr="00C21328">
        <w:rPr>
          <w:rFonts w:ascii="Times New Roman" w:hAnsi="Times New Roman" w:cs="Times New Roman"/>
          <w:sz w:val="24"/>
          <w:szCs w:val="24"/>
        </w:rPr>
        <w:t xml:space="preserve">consumption </w:t>
      </w:r>
      <w:r w:rsidR="00196088">
        <w:rPr>
          <w:rFonts w:ascii="Times New Roman" w:hAnsi="Times New Roman" w:cs="Times New Roman"/>
          <w:sz w:val="24"/>
          <w:szCs w:val="24"/>
        </w:rPr>
        <w:t xml:space="preserve">would </w:t>
      </w:r>
      <w:r w:rsidRPr="00C21328">
        <w:rPr>
          <w:rFonts w:ascii="Times New Roman" w:hAnsi="Times New Roman" w:cs="Times New Roman"/>
          <w:sz w:val="24"/>
          <w:szCs w:val="24"/>
        </w:rPr>
        <w:t>have changed</w:t>
      </w:r>
      <w:r w:rsidR="00196088">
        <w:rPr>
          <w:rFonts w:ascii="Times New Roman" w:hAnsi="Times New Roman" w:cs="Times New Roman"/>
          <w:sz w:val="24"/>
          <w:szCs w:val="24"/>
        </w:rPr>
        <w:t xml:space="preserve"> in the past and the future</w:t>
      </w:r>
      <w:r w:rsidRPr="00C21328">
        <w:rPr>
          <w:rFonts w:ascii="Times New Roman" w:hAnsi="Times New Roman" w:cs="Times New Roman"/>
          <w:sz w:val="24"/>
          <w:szCs w:val="24"/>
        </w:rPr>
        <w:t xml:space="preserve"> in relation to labor income due </w:t>
      </w:r>
      <w:r w:rsidR="00196088">
        <w:rPr>
          <w:rFonts w:ascii="Times New Roman" w:hAnsi="Times New Roman" w:cs="Times New Roman"/>
          <w:sz w:val="24"/>
          <w:szCs w:val="24"/>
        </w:rPr>
        <w:t>purely to changes in age structure over the</w:t>
      </w:r>
      <w:r w:rsidRPr="00C21328">
        <w:rPr>
          <w:rFonts w:ascii="Times New Roman" w:hAnsi="Times New Roman" w:cs="Times New Roman"/>
          <w:sz w:val="24"/>
          <w:szCs w:val="24"/>
        </w:rPr>
        <w:t xml:space="preserve"> demographic transition. </w:t>
      </w:r>
      <w:r w:rsidR="008B2094">
        <w:rPr>
          <w:rFonts w:ascii="Times New Roman" w:hAnsi="Times New Roman" w:cs="Times New Roman"/>
          <w:sz w:val="24"/>
          <w:szCs w:val="24"/>
        </w:rPr>
        <w:t>Thailand</w:t>
      </w:r>
      <w:r w:rsidRPr="00C21328">
        <w:rPr>
          <w:rFonts w:ascii="Times New Roman" w:hAnsi="Times New Roman" w:cs="Times New Roman"/>
          <w:sz w:val="24"/>
          <w:szCs w:val="24"/>
        </w:rPr>
        <w:t>’s demographic transition has been very rapid, and its changing pattern</w:t>
      </w:r>
      <w:r w:rsidR="00196088">
        <w:rPr>
          <w:rFonts w:ascii="Times New Roman" w:hAnsi="Times New Roman" w:cs="Times New Roman"/>
          <w:sz w:val="24"/>
          <w:szCs w:val="24"/>
        </w:rPr>
        <w:t xml:space="preserve">s in Figure </w:t>
      </w:r>
      <w:r w:rsidR="00461634">
        <w:rPr>
          <w:rFonts w:ascii="Times New Roman" w:hAnsi="Times New Roman" w:cs="Times New Roman"/>
          <w:sz w:val="24"/>
          <w:szCs w:val="24"/>
        </w:rPr>
        <w:t>7</w:t>
      </w:r>
      <w:r w:rsidRPr="00C21328">
        <w:rPr>
          <w:rFonts w:ascii="Times New Roman" w:hAnsi="Times New Roman" w:cs="Times New Roman"/>
          <w:sz w:val="24"/>
          <w:szCs w:val="24"/>
        </w:rPr>
        <w:t xml:space="preserve"> illustrate the various stage</w:t>
      </w:r>
      <w:r w:rsidR="00196088">
        <w:rPr>
          <w:rFonts w:ascii="Times New Roman" w:hAnsi="Times New Roman" w:cs="Times New Roman"/>
          <w:sz w:val="24"/>
          <w:szCs w:val="24"/>
        </w:rPr>
        <w:t>s</w:t>
      </w:r>
      <w:r w:rsidRPr="00C21328">
        <w:rPr>
          <w:rFonts w:ascii="Times New Roman" w:hAnsi="Times New Roman" w:cs="Times New Roman"/>
          <w:sz w:val="24"/>
          <w:szCs w:val="24"/>
        </w:rPr>
        <w:t xml:space="preserve"> of that demographic transition. The consumption and labor income are measured by effective consumers and effective workers by weighting the population at each age to reflect age differences in per capita consumption and labor income. One effective worker is defined as a person earning the average labor income of person in the prime age group at age 30-49</w:t>
      </w:r>
      <w:r w:rsidR="008B2094" w:rsidRPr="009217EF">
        <w:rPr>
          <w:rFonts w:ascii="Times New Roman" w:hAnsi="Times New Roman" w:cs="Times New Roman"/>
          <w:sz w:val="24"/>
          <w:szCs w:val="24"/>
          <w:lang w:eastAsia="ko-KR"/>
        </w:rPr>
        <w:t>.</w:t>
      </w:r>
      <w:r w:rsidRPr="00C21328">
        <w:rPr>
          <w:rFonts w:ascii="Times New Roman" w:hAnsi="Times New Roman" w:cs="Times New Roman"/>
          <w:sz w:val="24"/>
          <w:szCs w:val="24"/>
        </w:rPr>
        <w:t xml:space="preserve"> The effective consumer is defined similarly.</w:t>
      </w:r>
    </w:p>
    <w:p w14:paraId="1CD898FE" w14:textId="77777777" w:rsidR="008B2094" w:rsidRDefault="004941B1" w:rsidP="00C21328">
      <w:pPr>
        <w:spacing w:before="120" w:after="0" w:line="360" w:lineRule="auto"/>
        <w:jc w:val="thaiDistribute"/>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14:anchorId="10622D22" wp14:editId="24D718FB">
            <wp:extent cx="4476750" cy="27559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6750" cy="2755900"/>
                    </a:xfrm>
                    <a:prstGeom prst="rect">
                      <a:avLst/>
                    </a:prstGeom>
                    <a:noFill/>
                  </pic:spPr>
                </pic:pic>
              </a:graphicData>
            </a:graphic>
          </wp:inline>
        </w:drawing>
      </w:r>
    </w:p>
    <w:p w14:paraId="3C720305" w14:textId="1D52FFB5" w:rsidR="009E49AD" w:rsidRPr="009E49AD" w:rsidRDefault="009E49AD" w:rsidP="009E49AD">
      <w:pPr>
        <w:spacing w:before="120" w:after="0" w:line="360" w:lineRule="auto"/>
        <w:jc w:val="thaiDistribute"/>
        <w:rPr>
          <w:rFonts w:ascii="Times New Roman" w:hAnsi="Times New Roman" w:cs="Times New Roman"/>
          <w:sz w:val="24"/>
          <w:szCs w:val="24"/>
        </w:rPr>
      </w:pPr>
      <w:r w:rsidRPr="009E49AD">
        <w:rPr>
          <w:rFonts w:ascii="Times New Roman" w:hAnsi="Times New Roman" w:cs="Times New Roman"/>
          <w:sz w:val="24"/>
          <w:szCs w:val="24"/>
        </w:rPr>
        <w:t>Figure</w:t>
      </w:r>
      <w:r w:rsidR="00461634">
        <w:rPr>
          <w:rFonts w:ascii="Times New Roman" w:hAnsi="Times New Roman" w:cs="Times New Roman"/>
          <w:sz w:val="24"/>
          <w:szCs w:val="24"/>
        </w:rPr>
        <w:t>7</w:t>
      </w:r>
      <w:r w:rsidRPr="009E49AD">
        <w:rPr>
          <w:rFonts w:ascii="Times New Roman" w:hAnsi="Times New Roman" w:cs="Times New Roman"/>
          <w:sz w:val="24"/>
          <w:szCs w:val="24"/>
        </w:rPr>
        <w:t xml:space="preserve">. </w:t>
      </w:r>
      <w:r>
        <w:rPr>
          <w:rFonts w:ascii="Times New Roman" w:hAnsi="Times New Roman" w:cs="Times New Roman"/>
          <w:sz w:val="24"/>
          <w:szCs w:val="24"/>
        </w:rPr>
        <w:t xml:space="preserve">Effective </w:t>
      </w:r>
      <w:r w:rsidR="00B80E8D">
        <w:rPr>
          <w:rFonts w:ascii="Times New Roman" w:hAnsi="Times New Roman" w:cs="Times New Roman"/>
          <w:sz w:val="24"/>
          <w:szCs w:val="24"/>
        </w:rPr>
        <w:t>c</w:t>
      </w:r>
      <w:r>
        <w:rPr>
          <w:rFonts w:ascii="Times New Roman" w:hAnsi="Times New Roman" w:cs="Times New Roman"/>
          <w:sz w:val="24"/>
          <w:szCs w:val="24"/>
        </w:rPr>
        <w:t xml:space="preserve">onsumer per </w:t>
      </w:r>
      <w:r w:rsidR="00B80E8D">
        <w:rPr>
          <w:rFonts w:ascii="Times New Roman" w:hAnsi="Times New Roman" w:cs="Times New Roman"/>
          <w:sz w:val="24"/>
          <w:szCs w:val="24"/>
        </w:rPr>
        <w:t>e</w:t>
      </w:r>
      <w:r>
        <w:rPr>
          <w:rFonts w:ascii="Times New Roman" w:hAnsi="Times New Roman" w:cs="Times New Roman"/>
          <w:sz w:val="24"/>
          <w:szCs w:val="24"/>
        </w:rPr>
        <w:t xml:space="preserve">ffective </w:t>
      </w:r>
      <w:r w:rsidR="00B80E8D">
        <w:rPr>
          <w:rFonts w:ascii="Times New Roman" w:hAnsi="Times New Roman" w:cs="Times New Roman"/>
          <w:sz w:val="24"/>
          <w:szCs w:val="24"/>
        </w:rPr>
        <w:t>w</w:t>
      </w:r>
      <w:r>
        <w:rPr>
          <w:rFonts w:ascii="Times New Roman" w:hAnsi="Times New Roman" w:cs="Times New Roman"/>
          <w:sz w:val="24"/>
          <w:szCs w:val="24"/>
        </w:rPr>
        <w:t xml:space="preserve">orker by </w:t>
      </w:r>
      <w:r w:rsidR="00B80E8D">
        <w:rPr>
          <w:rFonts w:ascii="Times New Roman" w:hAnsi="Times New Roman" w:cs="Times New Roman"/>
          <w:sz w:val="24"/>
          <w:szCs w:val="24"/>
        </w:rPr>
        <w:t>a</w:t>
      </w:r>
      <w:r>
        <w:rPr>
          <w:rFonts w:ascii="Times New Roman" w:hAnsi="Times New Roman" w:cs="Times New Roman"/>
          <w:sz w:val="24"/>
          <w:szCs w:val="24"/>
        </w:rPr>
        <w:t xml:space="preserve">ge </w:t>
      </w:r>
      <w:r w:rsidR="00B80E8D">
        <w:rPr>
          <w:rFonts w:ascii="Times New Roman" w:hAnsi="Times New Roman" w:cs="Times New Roman"/>
          <w:sz w:val="24"/>
          <w:szCs w:val="24"/>
        </w:rPr>
        <w:t>g</w:t>
      </w:r>
      <w:r>
        <w:rPr>
          <w:rFonts w:ascii="Times New Roman" w:hAnsi="Times New Roman" w:cs="Times New Roman"/>
          <w:sz w:val="24"/>
          <w:szCs w:val="24"/>
        </w:rPr>
        <w:t>roup. 1950-2050 Thailand.</w:t>
      </w:r>
    </w:p>
    <w:p w14:paraId="7CEA99E0" w14:textId="77777777" w:rsidR="008B2094" w:rsidRDefault="009E49AD" w:rsidP="009E49AD">
      <w:pPr>
        <w:spacing w:before="120" w:after="0" w:line="360" w:lineRule="auto"/>
        <w:jc w:val="thaiDistribute"/>
        <w:rPr>
          <w:rFonts w:ascii="Times New Roman" w:hAnsi="Times New Roman" w:cs="Times New Roman"/>
          <w:sz w:val="24"/>
          <w:szCs w:val="24"/>
        </w:rPr>
      </w:pPr>
      <w:r w:rsidRPr="009E49AD">
        <w:rPr>
          <w:rFonts w:ascii="Times New Roman" w:hAnsi="Times New Roman" w:cs="Times New Roman"/>
          <w:sz w:val="24"/>
          <w:szCs w:val="24"/>
        </w:rPr>
        <w:t xml:space="preserve">Source: </w:t>
      </w:r>
      <w:hyperlink r:id="rId17" w:history="1">
        <w:r w:rsidRPr="0051482A">
          <w:rPr>
            <w:rStyle w:val="Hyperlink"/>
            <w:rFonts w:ascii="Times New Roman" w:hAnsi="Times New Roman" w:cs="Times New Roman"/>
            <w:sz w:val="24"/>
            <w:szCs w:val="24"/>
          </w:rPr>
          <w:t>www.ntaccounts.org</w:t>
        </w:r>
      </w:hyperlink>
      <w:r>
        <w:rPr>
          <w:rFonts w:ascii="Times New Roman" w:hAnsi="Times New Roman" w:cs="Times New Roman"/>
          <w:sz w:val="24"/>
          <w:szCs w:val="24"/>
        </w:rPr>
        <w:t>. Accessed October 1, 2015.</w:t>
      </w:r>
    </w:p>
    <w:p w14:paraId="503F8A2B" w14:textId="77777777" w:rsidR="009E49AD" w:rsidRPr="00C21328" w:rsidRDefault="009E49AD" w:rsidP="00135F1C">
      <w:pPr>
        <w:spacing w:before="120" w:after="0" w:line="360" w:lineRule="auto"/>
        <w:ind w:firstLine="567"/>
        <w:jc w:val="thaiDistribute"/>
        <w:rPr>
          <w:rFonts w:ascii="Times New Roman" w:hAnsi="Times New Roman" w:cs="Times New Roman"/>
          <w:sz w:val="24"/>
          <w:szCs w:val="24"/>
        </w:rPr>
      </w:pPr>
      <w:r>
        <w:rPr>
          <w:rFonts w:ascii="Times New Roman" w:hAnsi="Times New Roman" w:cs="Times New Roman"/>
          <w:sz w:val="24"/>
          <w:szCs w:val="24"/>
        </w:rPr>
        <w:t>T</w:t>
      </w:r>
      <w:r w:rsidR="00C21328" w:rsidRPr="00C21328">
        <w:rPr>
          <w:rFonts w:ascii="Times New Roman" w:hAnsi="Times New Roman" w:cs="Times New Roman"/>
          <w:sz w:val="24"/>
          <w:szCs w:val="24"/>
        </w:rPr>
        <w:t>he population of young consumers began decreasing along with declining fertility</w:t>
      </w:r>
      <w:r>
        <w:rPr>
          <w:rFonts w:ascii="Times New Roman" w:hAnsi="Times New Roman" w:cs="Times New Roman"/>
          <w:sz w:val="24"/>
          <w:szCs w:val="24"/>
        </w:rPr>
        <w:t xml:space="preserve"> in </w:t>
      </w:r>
      <w:r w:rsidR="00196088">
        <w:rPr>
          <w:rFonts w:ascii="Times New Roman" w:hAnsi="Times New Roman" w:cs="Times New Roman"/>
          <w:sz w:val="24"/>
          <w:szCs w:val="24"/>
        </w:rPr>
        <w:t xml:space="preserve">the </w:t>
      </w:r>
      <w:r>
        <w:rPr>
          <w:rFonts w:ascii="Times New Roman" w:hAnsi="Times New Roman" w:cs="Times New Roman"/>
          <w:sz w:val="24"/>
          <w:szCs w:val="24"/>
        </w:rPr>
        <w:t>mid-1970s</w:t>
      </w:r>
      <w:r w:rsidR="00C21328" w:rsidRPr="00C21328">
        <w:rPr>
          <w:rFonts w:ascii="Times New Roman" w:hAnsi="Times New Roman" w:cs="Times New Roman"/>
          <w:sz w:val="24"/>
          <w:szCs w:val="24"/>
        </w:rPr>
        <w:t xml:space="preserve">. As a result, the effective number of consumers per effective producer </w:t>
      </w:r>
      <w:r w:rsidR="00196088">
        <w:rPr>
          <w:rFonts w:ascii="Times New Roman" w:hAnsi="Times New Roman" w:cs="Times New Roman"/>
          <w:sz w:val="24"/>
          <w:szCs w:val="24"/>
        </w:rPr>
        <w:t>dropped</w:t>
      </w:r>
      <w:r w:rsidR="00C21328" w:rsidRPr="00C21328">
        <w:rPr>
          <w:rFonts w:ascii="Times New Roman" w:hAnsi="Times New Roman" w:cs="Times New Roman"/>
          <w:sz w:val="24"/>
          <w:szCs w:val="24"/>
        </w:rPr>
        <w:t xml:space="preserve"> substantially. This has an important implication for </w:t>
      </w:r>
      <w:r>
        <w:rPr>
          <w:rFonts w:ascii="Times New Roman" w:hAnsi="Times New Roman" w:cs="Times New Roman"/>
          <w:sz w:val="24"/>
          <w:szCs w:val="24"/>
        </w:rPr>
        <w:t>Thailand’</w:t>
      </w:r>
      <w:r w:rsidR="00C21328" w:rsidRPr="00C21328">
        <w:rPr>
          <w:rFonts w:ascii="Times New Roman" w:hAnsi="Times New Roman" w:cs="Times New Roman"/>
          <w:sz w:val="24"/>
          <w:szCs w:val="24"/>
        </w:rPr>
        <w:t xml:space="preserve">s future. For at least </w:t>
      </w:r>
      <w:r>
        <w:rPr>
          <w:rFonts w:ascii="Times New Roman" w:hAnsi="Times New Roman" w:cs="Times New Roman"/>
          <w:sz w:val="24"/>
          <w:szCs w:val="24"/>
        </w:rPr>
        <w:t>four</w:t>
      </w:r>
      <w:r w:rsidR="00C21328" w:rsidRPr="00C21328">
        <w:rPr>
          <w:rFonts w:ascii="Times New Roman" w:hAnsi="Times New Roman" w:cs="Times New Roman"/>
          <w:sz w:val="24"/>
          <w:szCs w:val="24"/>
        </w:rPr>
        <w:t xml:space="preserve"> decades, </w:t>
      </w:r>
      <w:r>
        <w:rPr>
          <w:rFonts w:ascii="Times New Roman" w:hAnsi="Times New Roman" w:cs="Times New Roman"/>
          <w:sz w:val="24"/>
          <w:szCs w:val="24"/>
        </w:rPr>
        <w:t>Thailand</w:t>
      </w:r>
      <w:r w:rsidR="00C21328" w:rsidRPr="00C21328">
        <w:rPr>
          <w:rFonts w:ascii="Times New Roman" w:hAnsi="Times New Roman" w:cs="Times New Roman"/>
          <w:sz w:val="24"/>
          <w:szCs w:val="24"/>
        </w:rPr>
        <w:t xml:space="preserve"> has experienced a favorable period in terms of population age structure, somewhere between the current situation in India and Japan. This has contributed to outstanding economic growth, producing the first demographic dividend.</w:t>
      </w:r>
      <w:r w:rsidRPr="009E49AD">
        <w:t xml:space="preserve"> </w:t>
      </w:r>
      <w:r w:rsidRPr="009E49AD">
        <w:rPr>
          <w:rFonts w:ascii="Times New Roman" w:hAnsi="Times New Roman" w:cs="Times New Roman"/>
          <w:sz w:val="24"/>
          <w:szCs w:val="24"/>
        </w:rPr>
        <w:t xml:space="preserve">The </w:t>
      </w:r>
      <w:r w:rsidR="001A0090">
        <w:rPr>
          <w:rFonts w:ascii="Times New Roman" w:hAnsi="Times New Roman" w:cs="Times New Roman"/>
          <w:sz w:val="24"/>
          <w:szCs w:val="24"/>
        </w:rPr>
        <w:t xml:space="preserve">decrease in the ratio is </w:t>
      </w:r>
      <w:r w:rsidRPr="009E49AD">
        <w:rPr>
          <w:rFonts w:ascii="Times New Roman" w:hAnsi="Times New Roman" w:cs="Times New Roman"/>
          <w:sz w:val="24"/>
          <w:szCs w:val="24"/>
        </w:rPr>
        <w:t>a transitory phenomenon</w:t>
      </w:r>
      <w:r w:rsidR="001A0090">
        <w:rPr>
          <w:rFonts w:ascii="Times New Roman" w:hAnsi="Times New Roman" w:cs="Times New Roman"/>
          <w:sz w:val="24"/>
          <w:szCs w:val="24"/>
        </w:rPr>
        <w:t xml:space="preserve"> though</w:t>
      </w:r>
      <w:r w:rsidRPr="009E49AD">
        <w:rPr>
          <w:rFonts w:ascii="Times New Roman" w:hAnsi="Times New Roman" w:cs="Times New Roman"/>
          <w:sz w:val="24"/>
          <w:szCs w:val="24"/>
        </w:rPr>
        <w:t>.</w:t>
      </w:r>
      <w:r w:rsidR="001A0090" w:rsidRPr="001A0090">
        <w:t xml:space="preserve"> </w:t>
      </w:r>
      <w:r w:rsidR="001A0090" w:rsidRPr="001A0090">
        <w:rPr>
          <w:rFonts w:ascii="Times New Roman" w:hAnsi="Times New Roman" w:cs="Times New Roman"/>
          <w:sz w:val="24"/>
          <w:szCs w:val="24"/>
        </w:rPr>
        <w:t>The number of elderly, as a proportion of t</w:t>
      </w:r>
      <w:r w:rsidR="001A0090">
        <w:rPr>
          <w:rFonts w:ascii="Times New Roman" w:hAnsi="Times New Roman" w:cs="Times New Roman"/>
          <w:sz w:val="24"/>
          <w:szCs w:val="24"/>
        </w:rPr>
        <w:t xml:space="preserve">he whole population is growing rapidly and hence the ratio is </w:t>
      </w:r>
      <w:r w:rsidR="00196088">
        <w:rPr>
          <w:rFonts w:ascii="Times New Roman" w:hAnsi="Times New Roman" w:cs="Times New Roman"/>
          <w:sz w:val="24"/>
          <w:szCs w:val="24"/>
        </w:rPr>
        <w:t xml:space="preserve">projected to </w:t>
      </w:r>
      <w:r w:rsidR="001A0090">
        <w:rPr>
          <w:rFonts w:ascii="Times New Roman" w:hAnsi="Times New Roman" w:cs="Times New Roman"/>
          <w:sz w:val="24"/>
          <w:szCs w:val="24"/>
        </w:rPr>
        <w:t>increas</w:t>
      </w:r>
      <w:r w:rsidR="00196088">
        <w:rPr>
          <w:rFonts w:ascii="Times New Roman" w:hAnsi="Times New Roman" w:cs="Times New Roman"/>
          <w:sz w:val="24"/>
          <w:szCs w:val="24"/>
        </w:rPr>
        <w:t>e</w:t>
      </w:r>
      <w:r w:rsidR="001A0090">
        <w:rPr>
          <w:rFonts w:ascii="Times New Roman" w:hAnsi="Times New Roman" w:cs="Times New Roman"/>
          <w:sz w:val="24"/>
          <w:szCs w:val="24"/>
        </w:rPr>
        <w:t xml:space="preserve"> again beginning 2016. Cu</w:t>
      </w:r>
      <w:r w:rsidRPr="009E49AD">
        <w:rPr>
          <w:rFonts w:ascii="Times New Roman" w:hAnsi="Times New Roman" w:cs="Times New Roman"/>
          <w:sz w:val="24"/>
          <w:szCs w:val="24"/>
        </w:rPr>
        <w:t xml:space="preserve">rrent estimates indicate that in 2050 </w:t>
      </w:r>
      <w:r w:rsidR="001A0090">
        <w:rPr>
          <w:rFonts w:ascii="Times New Roman" w:hAnsi="Times New Roman" w:cs="Times New Roman"/>
          <w:sz w:val="24"/>
          <w:szCs w:val="24"/>
        </w:rPr>
        <w:t>Thailand</w:t>
      </w:r>
      <w:r w:rsidRPr="009E49AD">
        <w:rPr>
          <w:rFonts w:ascii="Times New Roman" w:hAnsi="Times New Roman" w:cs="Times New Roman"/>
          <w:sz w:val="24"/>
          <w:szCs w:val="24"/>
        </w:rPr>
        <w:t xml:space="preserve"> will have the equivalent of </w:t>
      </w:r>
      <w:r w:rsidR="001A0090">
        <w:rPr>
          <w:rFonts w:ascii="Times New Roman" w:hAnsi="Times New Roman" w:cs="Times New Roman"/>
          <w:sz w:val="24"/>
          <w:szCs w:val="24"/>
        </w:rPr>
        <w:t>1</w:t>
      </w:r>
      <w:r w:rsidRPr="009E49AD">
        <w:rPr>
          <w:rFonts w:ascii="Times New Roman" w:hAnsi="Times New Roman" w:cs="Times New Roman"/>
          <w:sz w:val="24"/>
          <w:szCs w:val="24"/>
        </w:rPr>
        <w:t>.</w:t>
      </w:r>
      <w:r w:rsidR="001A0090">
        <w:rPr>
          <w:rFonts w:ascii="Times New Roman" w:hAnsi="Times New Roman" w:cs="Times New Roman"/>
          <w:sz w:val="24"/>
          <w:szCs w:val="24"/>
        </w:rPr>
        <w:t>95</w:t>
      </w:r>
      <w:r w:rsidRPr="009E49AD">
        <w:rPr>
          <w:rFonts w:ascii="Times New Roman" w:hAnsi="Times New Roman" w:cs="Times New Roman"/>
          <w:sz w:val="24"/>
          <w:szCs w:val="24"/>
        </w:rPr>
        <w:t xml:space="preserve"> consumers for each worker in the population.</w:t>
      </w:r>
      <w:r w:rsidRPr="009E49AD">
        <w:t xml:space="preserve"> </w:t>
      </w:r>
    </w:p>
    <w:p w14:paraId="30A470FC" w14:textId="09FD7AE5" w:rsidR="009217EF" w:rsidRDefault="009217EF" w:rsidP="007D6A73">
      <w:pPr>
        <w:spacing w:before="120" w:after="0" w:line="360" w:lineRule="auto"/>
        <w:ind w:firstLine="567"/>
        <w:jc w:val="thaiDistribute"/>
        <w:rPr>
          <w:rFonts w:ascii="Times New Roman" w:hAnsi="Times New Roman" w:cs="Times New Roman"/>
          <w:sz w:val="24"/>
          <w:szCs w:val="24"/>
        </w:rPr>
      </w:pPr>
      <w:r>
        <w:rPr>
          <w:rFonts w:ascii="Times New Roman" w:hAnsi="Times New Roman" w:cs="Times New Roman"/>
          <w:sz w:val="24"/>
          <w:szCs w:val="24"/>
        </w:rPr>
        <w:t xml:space="preserve">The public transfer profiles are most important for </w:t>
      </w:r>
      <w:r w:rsidR="00C21328">
        <w:rPr>
          <w:rFonts w:ascii="Times New Roman" w:hAnsi="Times New Roman" w:cs="Times New Roman"/>
          <w:sz w:val="24"/>
          <w:szCs w:val="24"/>
          <w:lang w:eastAsia="ko-KR"/>
        </w:rPr>
        <w:t xml:space="preserve">the model </w:t>
      </w:r>
      <w:r w:rsidR="008B2094">
        <w:rPr>
          <w:rFonts w:ascii="Times New Roman" w:hAnsi="Times New Roman" w:cs="Times New Roman"/>
          <w:sz w:val="24"/>
          <w:szCs w:val="24"/>
          <w:lang w:eastAsia="ko-KR"/>
        </w:rPr>
        <w:t>in this paper</w:t>
      </w:r>
      <w:r w:rsidR="00B80E8D">
        <w:rPr>
          <w:rFonts w:ascii="Times New Roman" w:hAnsi="Times New Roman" w:cs="Times New Roman"/>
          <w:sz w:val="24"/>
          <w:szCs w:val="24"/>
          <w:lang w:eastAsia="ko-KR"/>
        </w:rPr>
        <w:t xml:space="preserve"> (Figure </w:t>
      </w:r>
      <w:r w:rsidR="00461634">
        <w:rPr>
          <w:rFonts w:ascii="Times New Roman" w:hAnsi="Times New Roman" w:cs="Times New Roman"/>
          <w:sz w:val="24"/>
          <w:szCs w:val="24"/>
          <w:lang w:eastAsia="ko-KR"/>
        </w:rPr>
        <w:t>8</w:t>
      </w:r>
      <w:r w:rsidR="00B80E8D">
        <w:rPr>
          <w:rFonts w:ascii="Times New Roman" w:hAnsi="Times New Roman" w:cs="Times New Roman"/>
          <w:sz w:val="24"/>
          <w:szCs w:val="24"/>
          <w:lang w:eastAsia="ko-KR"/>
        </w:rPr>
        <w:t>).</w:t>
      </w:r>
      <w:r w:rsidR="00B80E8D" w:rsidRPr="00B80E8D">
        <w:t xml:space="preserve"> </w:t>
      </w:r>
      <w:r w:rsidR="00B80E8D" w:rsidRPr="00B80E8D">
        <w:rPr>
          <w:rFonts w:ascii="Times New Roman" w:hAnsi="Times New Roman" w:cs="Times New Roman"/>
          <w:sz w:val="24"/>
          <w:szCs w:val="24"/>
          <w:lang w:eastAsia="ko-KR"/>
        </w:rPr>
        <w:t>Public transfer outflows flow mostly from prime age adults</w:t>
      </w:r>
      <w:r w:rsidR="00B80E8D">
        <w:rPr>
          <w:rFonts w:ascii="Times New Roman" w:hAnsi="Times New Roman" w:cs="Times New Roman"/>
          <w:sz w:val="24"/>
          <w:szCs w:val="24"/>
          <w:lang w:eastAsia="ko-KR"/>
        </w:rPr>
        <w:t xml:space="preserve"> to children and elderly. </w:t>
      </w:r>
      <w:r w:rsidR="00B80E8D" w:rsidRPr="00B80E8D">
        <w:rPr>
          <w:rFonts w:ascii="Times New Roman" w:hAnsi="Times New Roman" w:cs="Times New Roman"/>
          <w:sz w:val="24"/>
          <w:szCs w:val="24"/>
          <w:lang w:eastAsia="ko-KR"/>
        </w:rPr>
        <w:t xml:space="preserve">Net transfers relative to YoLY are positive for children ages 0-23 (ranging from 0.11 to 0.41) and elderly ages 65 and older (ranging from 0 to 0.11), and low for people ages 24-64 (ranging from -0.2 to 0). </w:t>
      </w:r>
      <w:r w:rsidR="008B2094">
        <w:rPr>
          <w:rFonts w:ascii="Times New Roman" w:hAnsi="Times New Roman" w:cs="Times New Roman"/>
          <w:sz w:val="24"/>
          <w:szCs w:val="24"/>
          <w:lang w:eastAsia="ko-KR"/>
        </w:rPr>
        <w:t>P</w:t>
      </w:r>
      <w:r w:rsidRPr="009217EF">
        <w:rPr>
          <w:rFonts w:ascii="Times New Roman" w:hAnsi="Times New Roman" w:cs="Times New Roman"/>
          <w:sz w:val="24"/>
          <w:szCs w:val="24"/>
        </w:rPr>
        <w:t xml:space="preserve">ublic transfer inflows benefit children </w:t>
      </w:r>
      <w:r w:rsidR="001A0090">
        <w:rPr>
          <w:rFonts w:ascii="Times New Roman" w:hAnsi="Times New Roman" w:cs="Times New Roman"/>
          <w:sz w:val="24"/>
          <w:szCs w:val="24"/>
        </w:rPr>
        <w:t>most in Thailand</w:t>
      </w:r>
      <w:r w:rsidR="00B80E8D">
        <w:rPr>
          <w:rFonts w:ascii="Times New Roman" w:hAnsi="Times New Roman" w:cs="Times New Roman"/>
          <w:sz w:val="24"/>
          <w:szCs w:val="24"/>
        </w:rPr>
        <w:t>, but n</w:t>
      </w:r>
      <w:r w:rsidR="00516C41" w:rsidRPr="00516C41">
        <w:rPr>
          <w:rFonts w:ascii="Times New Roman" w:hAnsi="Times New Roman" w:cs="Times New Roman"/>
          <w:sz w:val="24"/>
          <w:szCs w:val="24"/>
        </w:rPr>
        <w:t>et public transfers to the elderly are relatively mo</w:t>
      </w:r>
      <w:r w:rsidR="00B80E8D">
        <w:rPr>
          <w:rFonts w:ascii="Times New Roman" w:hAnsi="Times New Roman" w:cs="Times New Roman"/>
          <w:sz w:val="24"/>
          <w:szCs w:val="24"/>
        </w:rPr>
        <w:t>dest in Thailand</w:t>
      </w:r>
      <w:r w:rsidR="00516C41" w:rsidRPr="00516C41">
        <w:rPr>
          <w:rFonts w:ascii="Times New Roman" w:hAnsi="Times New Roman" w:cs="Times New Roman"/>
          <w:sz w:val="24"/>
          <w:szCs w:val="24"/>
        </w:rPr>
        <w:t xml:space="preserve">.  </w:t>
      </w:r>
      <w:r w:rsidR="00B80E8D">
        <w:rPr>
          <w:rFonts w:ascii="Times New Roman" w:hAnsi="Times New Roman" w:cs="Times New Roman"/>
          <w:sz w:val="24"/>
          <w:szCs w:val="24"/>
        </w:rPr>
        <w:t>Net</w:t>
      </w:r>
      <w:r w:rsidR="00516C41" w:rsidRPr="00516C41">
        <w:rPr>
          <w:rFonts w:ascii="Times New Roman" w:hAnsi="Times New Roman" w:cs="Times New Roman"/>
          <w:sz w:val="24"/>
          <w:szCs w:val="24"/>
        </w:rPr>
        <w:t xml:space="preserve"> </w:t>
      </w:r>
      <w:r w:rsidR="00B80E8D">
        <w:rPr>
          <w:rFonts w:ascii="Times New Roman" w:hAnsi="Times New Roman" w:cs="Times New Roman"/>
          <w:sz w:val="24"/>
          <w:szCs w:val="24"/>
        </w:rPr>
        <w:t xml:space="preserve">public transfers </w:t>
      </w:r>
      <w:r w:rsidR="00516C41" w:rsidRPr="00516C41">
        <w:rPr>
          <w:rFonts w:ascii="Times New Roman" w:hAnsi="Times New Roman" w:cs="Times New Roman"/>
          <w:sz w:val="24"/>
          <w:szCs w:val="24"/>
        </w:rPr>
        <w:t xml:space="preserve">are essentially zero at age 65 and only about 0.05 YoLY at age 75 in year 2015. </w:t>
      </w:r>
      <w:r w:rsidR="00B80E8D">
        <w:rPr>
          <w:rFonts w:ascii="Times New Roman" w:hAnsi="Times New Roman" w:cs="Times New Roman"/>
          <w:sz w:val="24"/>
          <w:szCs w:val="24"/>
        </w:rPr>
        <w:t>Thus, i</w:t>
      </w:r>
      <w:r w:rsidR="00516C41" w:rsidRPr="00516C41">
        <w:rPr>
          <w:rFonts w:ascii="Times New Roman" w:hAnsi="Times New Roman" w:cs="Times New Roman"/>
          <w:sz w:val="24"/>
          <w:szCs w:val="24"/>
        </w:rPr>
        <w:t xml:space="preserve">n the absence of public policy reform, population aging will not create pressure on the public sector, but will place a great deal of pressure on the private sector.   </w:t>
      </w:r>
    </w:p>
    <w:p w14:paraId="2EB7DC65" w14:textId="54972BDE" w:rsidR="005B2653" w:rsidRDefault="005B2653" w:rsidP="007D6A73">
      <w:pPr>
        <w:spacing w:before="120" w:after="0" w:line="360" w:lineRule="auto"/>
        <w:ind w:firstLine="567"/>
        <w:jc w:val="thaiDistribute"/>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14:anchorId="64D1D47E" wp14:editId="782E719D">
            <wp:extent cx="3486150" cy="5461255"/>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9037" cy="5465778"/>
                    </a:xfrm>
                    <a:prstGeom prst="rect">
                      <a:avLst/>
                    </a:prstGeom>
                    <a:noFill/>
                  </pic:spPr>
                </pic:pic>
              </a:graphicData>
            </a:graphic>
          </wp:inline>
        </w:drawing>
      </w:r>
    </w:p>
    <w:p w14:paraId="23B60D63" w14:textId="1EBF566D" w:rsidR="00F03E95" w:rsidRDefault="00B9021E" w:rsidP="00115478">
      <w:pPr>
        <w:spacing w:before="120" w:after="0" w:line="360" w:lineRule="auto"/>
        <w:jc w:val="thaiDistribute"/>
        <w:rPr>
          <w:rFonts w:ascii="Times New Roman" w:hAnsi="Times New Roman" w:cs="Times New Roman"/>
          <w:sz w:val="24"/>
          <w:szCs w:val="24"/>
          <w:lang w:eastAsia="ko-KR"/>
        </w:rPr>
      </w:pPr>
      <w:r>
        <w:rPr>
          <w:rFonts w:ascii="Times New Roman" w:hAnsi="Times New Roman" w:cs="Times New Roman"/>
          <w:sz w:val="24"/>
          <w:szCs w:val="24"/>
          <w:lang w:eastAsia="ko-KR"/>
        </w:rPr>
        <w:t xml:space="preserve">Figure </w:t>
      </w:r>
      <w:r w:rsidR="00461634">
        <w:rPr>
          <w:rFonts w:ascii="Times New Roman" w:hAnsi="Times New Roman" w:cs="Times New Roman"/>
          <w:sz w:val="24"/>
          <w:szCs w:val="24"/>
          <w:lang w:eastAsia="ko-KR"/>
        </w:rPr>
        <w:t>8</w:t>
      </w:r>
      <w:r>
        <w:rPr>
          <w:rFonts w:ascii="Times New Roman" w:hAnsi="Times New Roman" w:cs="Times New Roman"/>
          <w:sz w:val="24"/>
          <w:szCs w:val="24"/>
          <w:lang w:eastAsia="ko-KR"/>
        </w:rPr>
        <w:t xml:space="preserve">. </w:t>
      </w:r>
      <w:r w:rsidR="005B2653">
        <w:rPr>
          <w:rFonts w:ascii="Times New Roman" w:hAnsi="Times New Roman" w:cs="Times New Roman"/>
          <w:sz w:val="24"/>
          <w:szCs w:val="24"/>
          <w:lang w:eastAsia="ko-KR"/>
        </w:rPr>
        <w:t>Normalized p</w:t>
      </w:r>
      <w:r w:rsidR="001A0090">
        <w:rPr>
          <w:rFonts w:ascii="Times New Roman" w:hAnsi="Times New Roman" w:cs="Times New Roman"/>
          <w:sz w:val="24"/>
          <w:szCs w:val="24"/>
          <w:lang w:eastAsia="ko-KR"/>
        </w:rPr>
        <w:t xml:space="preserve">ublic </w:t>
      </w:r>
      <w:r w:rsidR="005B2653">
        <w:rPr>
          <w:rFonts w:ascii="Times New Roman" w:hAnsi="Times New Roman" w:cs="Times New Roman"/>
          <w:sz w:val="24"/>
          <w:szCs w:val="24"/>
          <w:lang w:eastAsia="ko-KR"/>
        </w:rPr>
        <w:t>t</w:t>
      </w:r>
      <w:r w:rsidR="001A0090">
        <w:rPr>
          <w:rFonts w:ascii="Times New Roman" w:hAnsi="Times New Roman" w:cs="Times New Roman"/>
          <w:sz w:val="24"/>
          <w:szCs w:val="24"/>
          <w:lang w:eastAsia="ko-KR"/>
        </w:rPr>
        <w:t xml:space="preserve">ransfers </w:t>
      </w:r>
      <w:r w:rsidR="002F50B4">
        <w:rPr>
          <w:rFonts w:ascii="Times New Roman" w:hAnsi="Times New Roman" w:cs="Times New Roman"/>
          <w:sz w:val="24"/>
          <w:szCs w:val="24"/>
          <w:lang w:eastAsia="ko-KR"/>
        </w:rPr>
        <w:t xml:space="preserve">outflow, </w:t>
      </w:r>
      <w:r w:rsidR="005B2653">
        <w:rPr>
          <w:rFonts w:ascii="Times New Roman" w:hAnsi="Times New Roman" w:cs="Times New Roman"/>
          <w:sz w:val="24"/>
          <w:szCs w:val="24"/>
          <w:lang w:eastAsia="ko-KR"/>
        </w:rPr>
        <w:t>i</w:t>
      </w:r>
      <w:r w:rsidR="001A0090">
        <w:rPr>
          <w:rFonts w:ascii="Times New Roman" w:hAnsi="Times New Roman" w:cs="Times New Roman"/>
          <w:sz w:val="24"/>
          <w:szCs w:val="24"/>
          <w:lang w:eastAsia="ko-KR"/>
        </w:rPr>
        <w:t xml:space="preserve">nflow, and </w:t>
      </w:r>
      <w:r w:rsidR="005B2653">
        <w:rPr>
          <w:rFonts w:ascii="Times New Roman" w:hAnsi="Times New Roman" w:cs="Times New Roman"/>
          <w:sz w:val="24"/>
          <w:szCs w:val="24"/>
          <w:lang w:eastAsia="ko-KR"/>
        </w:rPr>
        <w:t>n</w:t>
      </w:r>
      <w:r w:rsidR="001A0090">
        <w:rPr>
          <w:rFonts w:ascii="Times New Roman" w:hAnsi="Times New Roman" w:cs="Times New Roman"/>
          <w:sz w:val="24"/>
          <w:szCs w:val="24"/>
          <w:lang w:eastAsia="ko-KR"/>
        </w:rPr>
        <w:t xml:space="preserve">et </w:t>
      </w:r>
      <w:r w:rsidR="005B2653">
        <w:rPr>
          <w:rFonts w:ascii="Times New Roman" w:hAnsi="Times New Roman" w:cs="Times New Roman"/>
          <w:sz w:val="24"/>
          <w:szCs w:val="24"/>
          <w:lang w:eastAsia="ko-KR"/>
        </w:rPr>
        <w:t>p</w:t>
      </w:r>
      <w:r w:rsidR="001A0090">
        <w:rPr>
          <w:rFonts w:ascii="Times New Roman" w:hAnsi="Times New Roman" w:cs="Times New Roman"/>
          <w:sz w:val="24"/>
          <w:szCs w:val="24"/>
          <w:lang w:eastAsia="ko-KR"/>
        </w:rPr>
        <w:t xml:space="preserve">ublic </w:t>
      </w:r>
      <w:r w:rsidR="005B2653">
        <w:rPr>
          <w:rFonts w:ascii="Times New Roman" w:hAnsi="Times New Roman" w:cs="Times New Roman"/>
          <w:sz w:val="24"/>
          <w:szCs w:val="24"/>
          <w:lang w:eastAsia="ko-KR"/>
        </w:rPr>
        <w:t>t</w:t>
      </w:r>
      <w:r w:rsidR="001A0090">
        <w:rPr>
          <w:rFonts w:ascii="Times New Roman" w:hAnsi="Times New Roman" w:cs="Times New Roman"/>
          <w:sz w:val="24"/>
          <w:szCs w:val="24"/>
          <w:lang w:eastAsia="ko-KR"/>
        </w:rPr>
        <w:t>ransfers</w:t>
      </w:r>
      <w:r w:rsidR="005A6C76">
        <w:rPr>
          <w:rFonts w:ascii="Times New Roman" w:hAnsi="Times New Roman" w:cs="Times New Roman"/>
          <w:sz w:val="24"/>
          <w:szCs w:val="24"/>
          <w:lang w:eastAsia="ko-KR"/>
        </w:rPr>
        <w:t>, 2011</w:t>
      </w:r>
      <w:r w:rsidR="001A0090">
        <w:rPr>
          <w:rFonts w:ascii="Times New Roman" w:hAnsi="Times New Roman" w:cs="Times New Roman"/>
          <w:sz w:val="24"/>
          <w:szCs w:val="24"/>
          <w:lang w:eastAsia="ko-KR"/>
        </w:rPr>
        <w:t>.</w:t>
      </w:r>
    </w:p>
    <w:p w14:paraId="1A2C4870" w14:textId="77777777" w:rsidR="001A0090" w:rsidRDefault="001A0090" w:rsidP="00B9021E">
      <w:pPr>
        <w:spacing w:before="120" w:after="0" w:line="360" w:lineRule="auto"/>
        <w:jc w:val="thaiDistribute"/>
        <w:rPr>
          <w:rFonts w:ascii="Times New Roman" w:hAnsi="Times New Roman" w:cs="Times New Roman"/>
          <w:sz w:val="24"/>
          <w:szCs w:val="24"/>
          <w:lang w:eastAsia="ko-KR"/>
        </w:rPr>
      </w:pPr>
      <w:r w:rsidRPr="001A0090">
        <w:rPr>
          <w:rFonts w:ascii="Times New Roman" w:hAnsi="Times New Roman" w:cs="Times New Roman"/>
          <w:sz w:val="24"/>
          <w:szCs w:val="24"/>
          <w:lang w:eastAsia="ko-KR"/>
        </w:rPr>
        <w:t>Source: www.ntaccounts.org. Accessed October 1, 2015.</w:t>
      </w:r>
    </w:p>
    <w:p w14:paraId="4CF23BD9" w14:textId="77777777" w:rsidR="001244C7" w:rsidRPr="00B9021E" w:rsidRDefault="001244C7" w:rsidP="00B9021E">
      <w:pPr>
        <w:spacing w:before="120" w:after="0" w:line="360" w:lineRule="auto"/>
        <w:jc w:val="thaiDistribute"/>
        <w:rPr>
          <w:rFonts w:ascii="Times New Roman" w:hAnsi="Times New Roman" w:cs="Times New Roman"/>
          <w:sz w:val="24"/>
          <w:szCs w:val="24"/>
          <w:lang w:eastAsia="ko-KR"/>
        </w:rPr>
      </w:pPr>
    </w:p>
    <w:p w14:paraId="03EEE008" w14:textId="2679A274" w:rsidR="001848DA" w:rsidRDefault="00454EA8" w:rsidP="006159C3">
      <w:pPr>
        <w:pStyle w:val="ListParagraph"/>
        <w:numPr>
          <w:ilvl w:val="0"/>
          <w:numId w:val="8"/>
        </w:numPr>
        <w:spacing w:before="120" w:after="0" w:line="360" w:lineRule="auto"/>
        <w:jc w:val="thaiDistribute"/>
        <w:rPr>
          <w:rFonts w:ascii="Times New Roman" w:hAnsi="Times New Roman" w:cs="Times New Roman"/>
          <w:b/>
          <w:sz w:val="24"/>
          <w:szCs w:val="24"/>
        </w:rPr>
      </w:pPr>
      <w:r>
        <w:rPr>
          <w:rFonts w:ascii="Times New Roman" w:hAnsi="Times New Roman" w:cs="Times New Roman"/>
          <w:b/>
          <w:sz w:val="24"/>
          <w:szCs w:val="24"/>
        </w:rPr>
        <w:t>Results</w:t>
      </w:r>
    </w:p>
    <w:p w14:paraId="7E155178" w14:textId="4D0529AA" w:rsidR="006C1E61" w:rsidRPr="006C1E61" w:rsidRDefault="006C1E61" w:rsidP="006C1E61">
      <w:pPr>
        <w:spacing w:before="120" w:after="0" w:line="360" w:lineRule="auto"/>
        <w:jc w:val="thaiDistribute"/>
        <w:rPr>
          <w:rFonts w:ascii="Times New Roman" w:hAnsi="Times New Roman" w:cs="Times New Roman"/>
          <w:sz w:val="24"/>
          <w:szCs w:val="24"/>
          <w:u w:val="single"/>
        </w:rPr>
      </w:pPr>
      <w:r w:rsidRPr="006C1E61">
        <w:rPr>
          <w:rFonts w:ascii="Times New Roman" w:hAnsi="Times New Roman" w:cs="Times New Roman"/>
          <w:sz w:val="24"/>
          <w:szCs w:val="24"/>
          <w:u w:val="single"/>
        </w:rPr>
        <w:t xml:space="preserve">Model in </w:t>
      </w:r>
      <w:r w:rsidR="0089134D">
        <w:rPr>
          <w:rFonts w:ascii="Times New Roman" w:hAnsi="Times New Roman" w:cs="Times New Roman"/>
          <w:sz w:val="24"/>
          <w:szCs w:val="24"/>
          <w:u w:val="single"/>
        </w:rPr>
        <w:t>b</w:t>
      </w:r>
      <w:r w:rsidRPr="006C1E61">
        <w:rPr>
          <w:rFonts w:ascii="Times New Roman" w:hAnsi="Times New Roman" w:cs="Times New Roman"/>
          <w:sz w:val="24"/>
          <w:szCs w:val="24"/>
          <w:u w:val="single"/>
        </w:rPr>
        <w:t>rief</w:t>
      </w:r>
    </w:p>
    <w:p w14:paraId="12E35C23" w14:textId="51612A06" w:rsidR="00AB1010" w:rsidRDefault="00F03E95" w:rsidP="00AB1010">
      <w:pPr>
        <w:spacing w:before="120" w:after="0" w:line="360" w:lineRule="auto"/>
        <w:jc w:val="thaiDistribute"/>
        <w:rPr>
          <w:rFonts w:ascii="Times New Roman" w:hAnsi="Times New Roman" w:cs="Times New Roman"/>
          <w:sz w:val="24"/>
          <w:szCs w:val="24"/>
          <w:lang w:eastAsia="ko-KR"/>
        </w:rPr>
      </w:pPr>
      <w:r w:rsidRPr="00F03E95">
        <w:rPr>
          <w:rFonts w:ascii="Times New Roman" w:hAnsi="Times New Roman" w:cs="Times New Roman"/>
          <w:sz w:val="24"/>
          <w:szCs w:val="24"/>
          <w:lang w:eastAsia="ko-KR"/>
        </w:rPr>
        <w:t xml:space="preserve">The simulation model </w:t>
      </w:r>
      <w:r w:rsidR="007B3F67">
        <w:rPr>
          <w:rFonts w:ascii="Times New Roman" w:hAnsi="Times New Roman" w:cs="Times New Roman"/>
          <w:sz w:val="24"/>
          <w:szCs w:val="24"/>
          <w:lang w:eastAsia="ko-KR"/>
        </w:rPr>
        <w:t xml:space="preserve">is described in detail in </w:t>
      </w:r>
      <w:r w:rsidRPr="00F03E95">
        <w:rPr>
          <w:rFonts w:ascii="Times New Roman" w:hAnsi="Times New Roman" w:cs="Times New Roman"/>
          <w:sz w:val="24"/>
          <w:szCs w:val="24"/>
          <w:lang w:eastAsia="ko-KR"/>
        </w:rPr>
        <w:t>Mason</w:t>
      </w:r>
      <w:r w:rsidR="001F4293">
        <w:rPr>
          <w:rFonts w:ascii="Times New Roman" w:hAnsi="Times New Roman" w:cs="Times New Roman"/>
          <w:sz w:val="24"/>
          <w:szCs w:val="24"/>
          <w:lang w:eastAsia="ko-KR"/>
        </w:rPr>
        <w:t>, Lee</w:t>
      </w:r>
      <w:r w:rsidRPr="00F03E95">
        <w:rPr>
          <w:rFonts w:ascii="Times New Roman" w:hAnsi="Times New Roman" w:cs="Times New Roman"/>
          <w:sz w:val="24"/>
          <w:szCs w:val="24"/>
          <w:lang w:eastAsia="ko-KR"/>
        </w:rPr>
        <w:t xml:space="preserve"> et al (</w:t>
      </w:r>
      <w:r w:rsidR="001F4293">
        <w:rPr>
          <w:rFonts w:ascii="Times New Roman" w:hAnsi="Times New Roman" w:cs="Times New Roman"/>
          <w:sz w:val="24"/>
          <w:szCs w:val="24"/>
          <w:lang w:eastAsia="ko-KR"/>
        </w:rPr>
        <w:t>2015</w:t>
      </w:r>
      <w:r w:rsidRPr="00F03E95">
        <w:rPr>
          <w:rFonts w:ascii="Times New Roman" w:hAnsi="Times New Roman" w:cs="Times New Roman"/>
          <w:sz w:val="24"/>
          <w:szCs w:val="24"/>
          <w:lang w:eastAsia="ko-KR"/>
        </w:rPr>
        <w:t xml:space="preserve">). The purpose of the model is to assess how changes in population age structure will influence the public sector given exogenously specified policies that govern taxes and spending. Population is incorporated into the model by relying on annual population projections by single year of age. Aggregate economic growth depends on growth in the population at each age and changes in the </w:t>
      </w:r>
      <w:r w:rsidR="00C03C1E">
        <w:rPr>
          <w:rFonts w:ascii="Times New Roman" w:hAnsi="Times New Roman" w:cs="Times New Roman"/>
          <w:sz w:val="24"/>
          <w:szCs w:val="24"/>
          <w:lang w:eastAsia="ko-KR"/>
        </w:rPr>
        <w:t xml:space="preserve">nominal labor income. The </w:t>
      </w:r>
      <w:r w:rsidRPr="00F03E95">
        <w:rPr>
          <w:rFonts w:ascii="Times New Roman" w:hAnsi="Times New Roman" w:cs="Times New Roman"/>
          <w:sz w:val="24"/>
          <w:szCs w:val="24"/>
          <w:lang w:eastAsia="ko-KR"/>
        </w:rPr>
        <w:t xml:space="preserve">growth </w:t>
      </w:r>
      <w:r w:rsidR="00C03C1E">
        <w:rPr>
          <w:rFonts w:ascii="Times New Roman" w:hAnsi="Times New Roman" w:cs="Times New Roman"/>
          <w:sz w:val="24"/>
          <w:szCs w:val="24"/>
          <w:lang w:eastAsia="ko-KR"/>
        </w:rPr>
        <w:t xml:space="preserve">rate in the nominal labor income </w:t>
      </w:r>
      <w:r w:rsidRPr="00F03E95">
        <w:rPr>
          <w:rFonts w:ascii="Times New Roman" w:hAnsi="Times New Roman" w:cs="Times New Roman"/>
          <w:sz w:val="24"/>
          <w:szCs w:val="24"/>
          <w:lang w:eastAsia="ko-KR"/>
        </w:rPr>
        <w:t>is introduced using an exogenous, time varying rate of productivity growth that leads to increases in counties per capita labor inco</w:t>
      </w:r>
      <w:r w:rsidR="00E572F2">
        <w:rPr>
          <w:rFonts w:ascii="Times New Roman" w:hAnsi="Times New Roman" w:cs="Times New Roman"/>
          <w:sz w:val="24"/>
          <w:szCs w:val="24"/>
          <w:lang w:eastAsia="ko-KR"/>
        </w:rPr>
        <w:t>me</w:t>
      </w:r>
      <w:r w:rsidR="00C03C1E">
        <w:rPr>
          <w:rFonts w:ascii="Times New Roman" w:hAnsi="Times New Roman" w:cs="Times New Roman"/>
          <w:sz w:val="24"/>
          <w:szCs w:val="24"/>
          <w:lang w:eastAsia="ko-KR"/>
        </w:rPr>
        <w:t>.</w:t>
      </w:r>
      <w:r w:rsidR="00E572F2">
        <w:rPr>
          <w:rFonts w:ascii="Times New Roman" w:hAnsi="Times New Roman" w:cs="Times New Roman"/>
          <w:sz w:val="24"/>
          <w:szCs w:val="24"/>
          <w:lang w:eastAsia="ko-KR"/>
        </w:rPr>
        <w:t xml:space="preserve"> </w:t>
      </w:r>
      <w:r w:rsidR="007E19CC" w:rsidRPr="007E19CC">
        <w:rPr>
          <w:rFonts w:ascii="Times New Roman" w:hAnsi="Times New Roman" w:cs="Times New Roman"/>
          <w:sz w:val="24"/>
          <w:szCs w:val="24"/>
          <w:lang w:eastAsia="ko-KR"/>
        </w:rPr>
        <w:t xml:space="preserve">Aggregate labor income is then determined by the population at each age and labor income at each age.  </w:t>
      </w:r>
      <w:r w:rsidR="007E19CC">
        <w:rPr>
          <w:rFonts w:ascii="Times New Roman" w:hAnsi="Times New Roman" w:cs="Times New Roman"/>
          <w:sz w:val="24"/>
          <w:szCs w:val="24"/>
          <w:lang w:eastAsia="ko-KR"/>
        </w:rPr>
        <w:t>Aggregate a</w:t>
      </w:r>
      <w:r w:rsidR="00C03C1E" w:rsidRPr="00C03C1E">
        <w:rPr>
          <w:rFonts w:ascii="Times New Roman" w:hAnsi="Times New Roman" w:cs="Times New Roman"/>
          <w:sz w:val="24"/>
          <w:szCs w:val="24"/>
          <w:lang w:eastAsia="ko-KR"/>
        </w:rPr>
        <w:t xml:space="preserve">sset income is assumed to grow at the same rate as aggregate labor income maintaining a constant share of total primary income (asset income plus labor income).  </w:t>
      </w:r>
    </w:p>
    <w:p w14:paraId="2C10AEA9" w14:textId="393EC4EE" w:rsidR="00C9482A" w:rsidRDefault="00F03E95" w:rsidP="00AB1010">
      <w:pPr>
        <w:spacing w:before="120" w:after="0" w:line="360" w:lineRule="auto"/>
        <w:ind w:firstLine="720"/>
        <w:jc w:val="thaiDistribute"/>
        <w:rPr>
          <w:rFonts w:ascii="Times New Roman" w:hAnsi="Times New Roman" w:cs="Times New Roman"/>
          <w:sz w:val="24"/>
          <w:szCs w:val="24"/>
          <w:lang w:eastAsia="ko-KR"/>
        </w:rPr>
      </w:pPr>
      <w:r w:rsidRPr="00F03E95">
        <w:rPr>
          <w:rFonts w:ascii="Times New Roman" w:hAnsi="Times New Roman" w:cs="Times New Roman"/>
          <w:sz w:val="24"/>
          <w:szCs w:val="24"/>
          <w:lang w:eastAsia="ko-KR"/>
        </w:rPr>
        <w:t xml:space="preserve">Per capita taxes paid at each age are determined by the tax profile and productivity growth.  Aggregate taxes are determined, in turn, by the population at each age and per capita taxes paid at each.  </w:t>
      </w:r>
      <w:r w:rsidR="00E572F2">
        <w:rPr>
          <w:rFonts w:ascii="Times New Roman" w:hAnsi="Times New Roman" w:cs="Times New Roman"/>
          <w:sz w:val="24"/>
          <w:szCs w:val="24"/>
          <w:lang w:eastAsia="ko-KR"/>
        </w:rPr>
        <w:t>Thus</w:t>
      </w:r>
      <w:r w:rsidRPr="00F03E95">
        <w:rPr>
          <w:rFonts w:ascii="Times New Roman" w:hAnsi="Times New Roman" w:cs="Times New Roman"/>
          <w:sz w:val="24"/>
          <w:szCs w:val="24"/>
          <w:lang w:eastAsia="ko-KR"/>
        </w:rPr>
        <w:t>, all public spending</w:t>
      </w:r>
      <w:r w:rsidR="005F20C6">
        <w:rPr>
          <w:rFonts w:ascii="Times New Roman" w:hAnsi="Times New Roman" w:cs="Times New Roman"/>
          <w:sz w:val="24"/>
          <w:szCs w:val="24"/>
          <w:lang w:eastAsia="ko-KR"/>
        </w:rPr>
        <w:t xml:space="preserve"> and</w:t>
      </w:r>
      <w:r w:rsidRPr="00F03E95">
        <w:rPr>
          <w:rFonts w:ascii="Times New Roman" w:hAnsi="Times New Roman" w:cs="Times New Roman"/>
          <w:sz w:val="24"/>
          <w:szCs w:val="24"/>
          <w:lang w:eastAsia="ko-KR"/>
        </w:rPr>
        <w:t xml:space="preserve"> public transfer flows</w:t>
      </w:r>
      <w:r w:rsidR="005F20C6">
        <w:rPr>
          <w:rFonts w:ascii="Times New Roman" w:hAnsi="Times New Roman" w:cs="Times New Roman"/>
          <w:sz w:val="24"/>
          <w:szCs w:val="24"/>
          <w:lang w:eastAsia="ko-KR"/>
        </w:rPr>
        <w:t xml:space="preserve"> are</w:t>
      </w:r>
      <w:r w:rsidRPr="00F03E95">
        <w:rPr>
          <w:rFonts w:ascii="Times New Roman" w:hAnsi="Times New Roman" w:cs="Times New Roman"/>
          <w:sz w:val="24"/>
          <w:szCs w:val="24"/>
          <w:lang w:eastAsia="ko-KR"/>
        </w:rPr>
        <w:t xml:space="preserve"> determined by three factors:  productivity growth, the relevant public transfer age profile, and population at each age.  </w:t>
      </w:r>
      <w:r w:rsidR="00E572F2">
        <w:rPr>
          <w:rFonts w:ascii="Times New Roman" w:hAnsi="Times New Roman" w:cs="Times New Roman"/>
          <w:sz w:val="24"/>
          <w:szCs w:val="24"/>
          <w:lang w:eastAsia="ko-KR"/>
        </w:rPr>
        <w:t>T</w:t>
      </w:r>
      <w:r w:rsidRPr="00F03E95">
        <w:rPr>
          <w:rFonts w:ascii="Times New Roman" w:hAnsi="Times New Roman" w:cs="Times New Roman"/>
          <w:sz w:val="24"/>
          <w:szCs w:val="24"/>
          <w:lang w:eastAsia="ko-KR"/>
        </w:rPr>
        <w:t xml:space="preserve">he gap between tax revenues and public transfer inflows is equal to the public transfer deficit. Public asset reallocations equal public asset income less saving the public transfer deficit by definition. Public asset income is determined by the </w:t>
      </w:r>
      <w:r w:rsidR="007E19CC">
        <w:rPr>
          <w:rFonts w:ascii="Times New Roman" w:hAnsi="Times New Roman" w:cs="Times New Roman"/>
          <w:sz w:val="24"/>
          <w:szCs w:val="24"/>
          <w:lang w:eastAsia="ko-KR"/>
        </w:rPr>
        <w:t xml:space="preserve">exogenously given </w:t>
      </w:r>
      <w:r w:rsidRPr="00F03E95">
        <w:rPr>
          <w:rFonts w:ascii="Times New Roman" w:hAnsi="Times New Roman" w:cs="Times New Roman"/>
          <w:sz w:val="24"/>
          <w:szCs w:val="24"/>
          <w:lang w:eastAsia="ko-KR"/>
        </w:rPr>
        <w:t xml:space="preserve">public interest rate and public assets (or debt).  Public assets at the end of the year equal public assets at the end of the preceding year plus public saving, equal in turn to public tax revenues less public transfer outflows. </w:t>
      </w:r>
    </w:p>
    <w:p w14:paraId="375261CA" w14:textId="17960A90" w:rsidR="00F03E95" w:rsidRPr="00F03E95" w:rsidRDefault="00C9482A" w:rsidP="00442C93">
      <w:pPr>
        <w:spacing w:before="120" w:after="0" w:line="360" w:lineRule="auto"/>
        <w:ind w:firstLine="720"/>
        <w:jc w:val="thaiDistribute"/>
        <w:rPr>
          <w:rFonts w:ascii="Times New Roman" w:hAnsi="Times New Roman" w:cs="Times New Roman"/>
          <w:sz w:val="24"/>
          <w:szCs w:val="24"/>
          <w:lang w:eastAsia="ko-KR"/>
        </w:rPr>
      </w:pPr>
      <w:r w:rsidRPr="00C9482A">
        <w:rPr>
          <w:rFonts w:ascii="Times New Roman" w:hAnsi="Times New Roman" w:cs="Times New Roman"/>
          <w:sz w:val="24"/>
          <w:szCs w:val="24"/>
          <w:lang w:eastAsia="ko-KR"/>
        </w:rPr>
        <w:t>The private sector model tracks how changes in population age structure and public policy reform influence the resources available to members of each age and the responses in private consumption, private saving, and private inter- and intra-household transfers.</w:t>
      </w:r>
      <w:r w:rsidR="001D3054">
        <w:rPr>
          <w:rFonts w:ascii="Times New Roman" w:hAnsi="Times New Roman" w:cs="Times New Roman"/>
          <w:sz w:val="24"/>
          <w:szCs w:val="24"/>
          <w:lang w:eastAsia="ko-KR"/>
        </w:rPr>
        <w:t xml:space="preserve"> In our model,</w:t>
      </w:r>
      <w:r w:rsidRPr="00C9482A">
        <w:rPr>
          <w:rFonts w:ascii="Times New Roman" w:hAnsi="Times New Roman" w:cs="Times New Roman"/>
          <w:sz w:val="24"/>
          <w:szCs w:val="24"/>
          <w:lang w:eastAsia="ko-KR"/>
        </w:rPr>
        <w:t xml:space="preserve"> </w:t>
      </w:r>
      <w:r w:rsidR="001D3054">
        <w:rPr>
          <w:rFonts w:ascii="Times New Roman" w:hAnsi="Times New Roman" w:cs="Times New Roman"/>
          <w:sz w:val="24"/>
          <w:szCs w:val="24"/>
          <w:lang w:eastAsia="ko-KR"/>
        </w:rPr>
        <w:t>i</w:t>
      </w:r>
      <w:r w:rsidR="009E6E21" w:rsidRPr="009E6E21">
        <w:rPr>
          <w:rFonts w:ascii="Times New Roman" w:hAnsi="Times New Roman" w:cs="Times New Roman"/>
          <w:sz w:val="24"/>
          <w:szCs w:val="24"/>
          <w:lang w:eastAsia="ko-KR"/>
        </w:rPr>
        <w:t>nflows consist of labor income, transfer inflows, and asset income while outflows consist of consumption, transfer outflows, and saving</w:t>
      </w:r>
      <w:r w:rsidR="001D3054">
        <w:rPr>
          <w:rFonts w:ascii="Times New Roman" w:hAnsi="Times New Roman" w:cs="Times New Roman"/>
          <w:sz w:val="24"/>
          <w:szCs w:val="24"/>
          <w:lang w:eastAsia="ko-KR"/>
        </w:rPr>
        <w:t xml:space="preserve"> and i</w:t>
      </w:r>
      <w:r w:rsidR="00FF43BA" w:rsidRPr="00FF43BA">
        <w:rPr>
          <w:rFonts w:ascii="Times New Roman" w:hAnsi="Times New Roman" w:cs="Times New Roman"/>
          <w:sz w:val="24"/>
          <w:szCs w:val="24"/>
          <w:lang w:eastAsia="ko-KR"/>
        </w:rPr>
        <w:t xml:space="preserve">nflows and outflows are jointly or simultaneously determined. </w:t>
      </w:r>
      <w:r w:rsidR="001D3054">
        <w:rPr>
          <w:rFonts w:ascii="Times New Roman" w:hAnsi="Times New Roman" w:cs="Times New Roman"/>
          <w:sz w:val="24"/>
          <w:szCs w:val="24"/>
          <w:lang w:eastAsia="ko-KR"/>
        </w:rPr>
        <w:t>That</w:t>
      </w:r>
      <w:r w:rsidR="00FF43BA">
        <w:rPr>
          <w:rFonts w:ascii="Times New Roman" w:hAnsi="Times New Roman" w:cs="Times New Roman"/>
          <w:sz w:val="24"/>
          <w:szCs w:val="24"/>
          <w:lang w:eastAsia="ko-KR"/>
        </w:rPr>
        <w:t xml:space="preserve"> is, as i</w:t>
      </w:r>
      <w:r w:rsidR="009E6E21" w:rsidRPr="009E6E21">
        <w:rPr>
          <w:rFonts w:ascii="Times New Roman" w:hAnsi="Times New Roman" w:cs="Times New Roman"/>
          <w:sz w:val="24"/>
          <w:szCs w:val="24"/>
          <w:lang w:eastAsia="ko-KR"/>
        </w:rPr>
        <w:t>nflows must equal outflows for each age group</w:t>
      </w:r>
      <w:r w:rsidR="00442C93">
        <w:rPr>
          <w:rFonts w:ascii="Times New Roman" w:hAnsi="Times New Roman" w:cs="Times New Roman"/>
          <w:sz w:val="24"/>
          <w:szCs w:val="24"/>
          <w:lang w:eastAsia="ko-KR"/>
        </w:rPr>
        <w:t xml:space="preserve"> and for the economy as a whole</w:t>
      </w:r>
      <w:r w:rsidR="00FF43BA">
        <w:rPr>
          <w:rFonts w:ascii="Times New Roman" w:hAnsi="Times New Roman" w:cs="Times New Roman"/>
          <w:sz w:val="24"/>
          <w:szCs w:val="24"/>
          <w:lang w:eastAsia="ko-KR"/>
        </w:rPr>
        <w:t xml:space="preserve">, </w:t>
      </w:r>
      <w:r w:rsidR="00442C93" w:rsidRPr="00442C93">
        <w:rPr>
          <w:rFonts w:ascii="Times New Roman" w:hAnsi="Times New Roman" w:cs="Times New Roman"/>
          <w:sz w:val="24"/>
          <w:szCs w:val="24"/>
          <w:lang w:eastAsia="ko-KR"/>
        </w:rPr>
        <w:t xml:space="preserve">any change in private transfer outflows produces an equal change in private transfer inflows. </w:t>
      </w:r>
      <w:r w:rsidR="00FF779D">
        <w:rPr>
          <w:rFonts w:ascii="Times New Roman" w:hAnsi="Times New Roman" w:cs="Times New Roman"/>
          <w:sz w:val="24"/>
          <w:szCs w:val="24"/>
          <w:lang w:eastAsia="ko-KR"/>
        </w:rPr>
        <w:t>For example, i</w:t>
      </w:r>
      <w:r w:rsidR="00442C93" w:rsidRPr="00442C93">
        <w:rPr>
          <w:rFonts w:ascii="Times New Roman" w:hAnsi="Times New Roman" w:cs="Times New Roman"/>
          <w:sz w:val="24"/>
          <w:szCs w:val="24"/>
          <w:lang w:eastAsia="ko-KR"/>
        </w:rPr>
        <w:t xml:space="preserve">f taxes are increased for a particular age group, this will influence the transfers they make to those with whom they are linked.  The change in inflows to these age groups will, in turn, influence the transfers those age groups make to others. </w:t>
      </w:r>
      <w:r w:rsidRPr="00C9482A">
        <w:rPr>
          <w:rFonts w:ascii="Times New Roman" w:hAnsi="Times New Roman" w:cs="Times New Roman"/>
          <w:sz w:val="24"/>
          <w:szCs w:val="24"/>
          <w:lang w:eastAsia="ko-KR"/>
        </w:rPr>
        <w:t xml:space="preserve">The </w:t>
      </w:r>
      <w:r w:rsidR="00FF779D">
        <w:rPr>
          <w:rFonts w:ascii="Times New Roman" w:hAnsi="Times New Roman" w:cs="Times New Roman"/>
          <w:sz w:val="24"/>
          <w:szCs w:val="24"/>
          <w:lang w:eastAsia="ko-KR"/>
        </w:rPr>
        <w:t xml:space="preserve">iterative simulation </w:t>
      </w:r>
      <w:r w:rsidRPr="00C9482A">
        <w:rPr>
          <w:rFonts w:ascii="Times New Roman" w:hAnsi="Times New Roman" w:cs="Times New Roman"/>
          <w:sz w:val="24"/>
          <w:szCs w:val="24"/>
          <w:lang w:eastAsia="ko-KR"/>
        </w:rPr>
        <w:t xml:space="preserve">model </w:t>
      </w:r>
      <w:r w:rsidR="000160DC">
        <w:rPr>
          <w:rFonts w:ascii="Times New Roman" w:hAnsi="Times New Roman" w:cs="Times New Roman"/>
          <w:sz w:val="24"/>
          <w:szCs w:val="24"/>
          <w:lang w:eastAsia="ko-KR"/>
        </w:rPr>
        <w:t xml:space="preserve">and a household transfer matrix </w:t>
      </w:r>
      <w:r w:rsidRPr="00C9482A">
        <w:rPr>
          <w:rFonts w:ascii="Times New Roman" w:hAnsi="Times New Roman" w:cs="Times New Roman"/>
          <w:sz w:val="24"/>
          <w:szCs w:val="24"/>
          <w:lang w:eastAsia="ko-KR"/>
        </w:rPr>
        <w:t>projects private flows and stocks including private assets and private transfer wealth.</w:t>
      </w:r>
      <w:r w:rsidR="00FF779D">
        <w:rPr>
          <w:rStyle w:val="FootnoteReference"/>
          <w:rFonts w:ascii="Times New Roman" w:hAnsi="Times New Roman" w:cs="Times New Roman"/>
          <w:sz w:val="24"/>
          <w:szCs w:val="24"/>
          <w:lang w:eastAsia="ko-KR"/>
        </w:rPr>
        <w:footnoteReference w:id="3"/>
      </w:r>
      <w:r w:rsidR="00FF779D" w:rsidRPr="00442C93">
        <w:rPr>
          <w:rFonts w:ascii="Times New Roman" w:hAnsi="Times New Roman" w:cs="Times New Roman"/>
          <w:sz w:val="24"/>
          <w:szCs w:val="24"/>
          <w:lang w:eastAsia="ko-KR"/>
        </w:rPr>
        <w:t xml:space="preserve"> </w:t>
      </w:r>
      <w:r w:rsidRPr="00C9482A">
        <w:rPr>
          <w:rFonts w:ascii="Times New Roman" w:hAnsi="Times New Roman" w:cs="Times New Roman"/>
          <w:sz w:val="24"/>
          <w:szCs w:val="24"/>
          <w:lang w:eastAsia="ko-KR"/>
        </w:rPr>
        <w:t xml:space="preserve">  </w:t>
      </w:r>
    </w:p>
    <w:p w14:paraId="7DCD8918" w14:textId="00BCBEF1" w:rsidR="006C1E61" w:rsidRDefault="00C9482A" w:rsidP="00AB1010">
      <w:pPr>
        <w:spacing w:before="120" w:after="0" w:line="360" w:lineRule="auto"/>
        <w:ind w:firstLine="720"/>
        <w:jc w:val="thaiDistribute"/>
        <w:rPr>
          <w:rFonts w:ascii="Times New Roman" w:hAnsi="Times New Roman" w:cs="Times New Roman"/>
          <w:sz w:val="24"/>
          <w:szCs w:val="24"/>
          <w:lang w:eastAsia="ko-KR"/>
        </w:rPr>
      </w:pPr>
      <w:r>
        <w:rPr>
          <w:rFonts w:ascii="Times New Roman" w:hAnsi="Times New Roman" w:cs="Times New Roman"/>
          <w:sz w:val="24"/>
          <w:szCs w:val="24"/>
          <w:lang w:eastAsia="ko-KR"/>
        </w:rPr>
        <w:t>W</w:t>
      </w:r>
      <w:r w:rsidR="00F03E95" w:rsidRPr="00F03E95">
        <w:rPr>
          <w:rFonts w:ascii="Times New Roman" w:hAnsi="Times New Roman" w:cs="Times New Roman"/>
          <w:sz w:val="24"/>
          <w:szCs w:val="24"/>
          <w:lang w:eastAsia="ko-KR"/>
        </w:rPr>
        <w:t xml:space="preserve">e consider two policy scenarios and two constraints. The policy scenarios consist of the status quo scenarios and target scenarios. The status quo scenario holds normalized public sector age profiles fixed at their base year values.  This scenario is useful, for example, for accessing the implications of changes in population age structure in the absence of changes in public policy.  The target scenario is designed to allow for a transition from the age profiles in the base year to exogenously specified alternative age profiles. The year at which the transition begins and is completed are exogenously specified (or triggered by per capita GDP). The transition path is linear. The two constraints are the size of government constraint and the national debt constraints. The size of government constraint imposes an upper limit on taxes and/or public transfer inflows as a share of GDP. The constraint is incorporated by rescaling the tax and/or public transfer inflow age profiles. In other words the value at each age is reduced by the same percentage. The public debt constraint also imposes an upper limit on public debt as a percentage of GDP. If the debt to GDP ratio is projected to exceed the cap at the end of an exogenously specified planning horizon, taxes are scaled upward by an amount sufficient to satisfy the constraint at the end of the planning horizon. </w:t>
      </w:r>
      <w:r w:rsidR="006C3F6B">
        <w:rPr>
          <w:rFonts w:ascii="Times New Roman" w:hAnsi="Times New Roman" w:cs="Times New Roman"/>
          <w:sz w:val="24"/>
          <w:szCs w:val="24"/>
          <w:lang w:eastAsia="ko-KR"/>
        </w:rPr>
        <w:t>In combination with these constraints, w</w:t>
      </w:r>
      <w:r w:rsidR="00F03E95" w:rsidRPr="00F03E95">
        <w:rPr>
          <w:rFonts w:ascii="Times New Roman" w:hAnsi="Times New Roman" w:cs="Times New Roman"/>
          <w:sz w:val="24"/>
          <w:szCs w:val="24"/>
          <w:lang w:eastAsia="ko-KR"/>
        </w:rPr>
        <w:t>e consider f</w:t>
      </w:r>
      <w:r w:rsidR="000160DC">
        <w:rPr>
          <w:rFonts w:ascii="Times New Roman" w:hAnsi="Times New Roman" w:cs="Times New Roman"/>
          <w:sz w:val="24"/>
          <w:szCs w:val="24"/>
          <w:lang w:eastAsia="ko-KR"/>
        </w:rPr>
        <w:t>our</w:t>
      </w:r>
      <w:r w:rsidR="00F03E95" w:rsidRPr="00F03E95">
        <w:rPr>
          <w:rFonts w:ascii="Times New Roman" w:hAnsi="Times New Roman" w:cs="Times New Roman"/>
          <w:sz w:val="24"/>
          <w:szCs w:val="24"/>
          <w:lang w:eastAsia="ko-KR"/>
        </w:rPr>
        <w:t xml:space="preserve"> cases for Thailand, i) the status quo with no constraints, ii) low net public transfers </w:t>
      </w:r>
      <w:r w:rsidR="00272352">
        <w:rPr>
          <w:rFonts w:ascii="Times New Roman" w:hAnsi="Times New Roman" w:cs="Times New Roman"/>
          <w:sz w:val="24"/>
          <w:szCs w:val="24"/>
          <w:lang w:eastAsia="ko-KR"/>
        </w:rPr>
        <w:t>(capitalist)</w:t>
      </w:r>
      <w:r w:rsidR="00BB697C">
        <w:rPr>
          <w:rFonts w:ascii="Times New Roman" w:hAnsi="Times New Roman" w:cs="Times New Roman"/>
          <w:sz w:val="24"/>
          <w:szCs w:val="24"/>
          <w:lang w:eastAsia="ko-KR"/>
        </w:rPr>
        <w:t xml:space="preserve"> with constraints</w:t>
      </w:r>
      <w:r w:rsidR="00F03E95" w:rsidRPr="00F03E95">
        <w:rPr>
          <w:rFonts w:ascii="Times New Roman" w:hAnsi="Times New Roman" w:cs="Times New Roman"/>
          <w:sz w:val="24"/>
          <w:szCs w:val="24"/>
          <w:lang w:eastAsia="ko-KR"/>
        </w:rPr>
        <w:t>, i</w:t>
      </w:r>
      <w:r w:rsidR="00E34CC7">
        <w:rPr>
          <w:rFonts w:ascii="Times New Roman" w:hAnsi="Times New Roman" w:cs="Times New Roman"/>
          <w:sz w:val="24"/>
          <w:szCs w:val="24"/>
          <w:lang w:eastAsia="ko-KR"/>
        </w:rPr>
        <w:t>ii</w:t>
      </w:r>
      <w:r w:rsidR="00F03E95" w:rsidRPr="00F03E95">
        <w:rPr>
          <w:rFonts w:ascii="Times New Roman" w:hAnsi="Times New Roman" w:cs="Times New Roman"/>
          <w:sz w:val="24"/>
          <w:szCs w:val="24"/>
          <w:lang w:eastAsia="ko-KR"/>
        </w:rPr>
        <w:t xml:space="preserve">)  high net public transfers </w:t>
      </w:r>
      <w:r w:rsidR="00272352">
        <w:rPr>
          <w:rFonts w:ascii="Times New Roman" w:hAnsi="Times New Roman" w:cs="Times New Roman"/>
          <w:sz w:val="24"/>
          <w:szCs w:val="24"/>
          <w:lang w:eastAsia="ko-KR"/>
        </w:rPr>
        <w:t xml:space="preserve">(social welfare) </w:t>
      </w:r>
      <w:r w:rsidR="00F03E95" w:rsidRPr="00F03E95">
        <w:rPr>
          <w:rFonts w:ascii="Times New Roman" w:hAnsi="Times New Roman" w:cs="Times New Roman"/>
          <w:sz w:val="24"/>
          <w:szCs w:val="24"/>
          <w:lang w:eastAsia="ko-KR"/>
        </w:rPr>
        <w:t xml:space="preserve">with no constraints, and </w:t>
      </w:r>
      <w:r w:rsidR="00E34CC7">
        <w:rPr>
          <w:rFonts w:ascii="Times New Roman" w:hAnsi="Times New Roman" w:cs="Times New Roman"/>
          <w:sz w:val="24"/>
          <w:szCs w:val="24"/>
          <w:lang w:eastAsia="ko-KR"/>
        </w:rPr>
        <w:t>i</w:t>
      </w:r>
      <w:r w:rsidR="00F03E95" w:rsidRPr="00F03E95">
        <w:rPr>
          <w:rFonts w:ascii="Times New Roman" w:hAnsi="Times New Roman" w:cs="Times New Roman"/>
          <w:sz w:val="24"/>
          <w:szCs w:val="24"/>
          <w:lang w:eastAsia="ko-KR"/>
        </w:rPr>
        <w:t xml:space="preserve">v) the high net public transfers with constraints. </w:t>
      </w:r>
    </w:p>
    <w:p w14:paraId="23442D5C" w14:textId="63F5C99D" w:rsidR="006C1E61" w:rsidRPr="006C1E61" w:rsidRDefault="0089134D" w:rsidP="006C1E61">
      <w:pPr>
        <w:spacing w:before="120" w:after="0" w:line="360" w:lineRule="auto"/>
        <w:jc w:val="thaiDistribute"/>
        <w:rPr>
          <w:rFonts w:ascii="Times New Roman" w:hAnsi="Times New Roman" w:cs="Times New Roman"/>
          <w:sz w:val="24"/>
          <w:szCs w:val="24"/>
          <w:u w:val="single"/>
          <w:lang w:eastAsia="ko-KR"/>
        </w:rPr>
      </w:pPr>
      <w:r>
        <w:rPr>
          <w:rFonts w:ascii="Times New Roman" w:hAnsi="Times New Roman" w:cs="Times New Roman"/>
          <w:sz w:val="24"/>
          <w:szCs w:val="24"/>
          <w:u w:val="single"/>
          <w:lang w:eastAsia="ko-KR"/>
        </w:rPr>
        <w:t>Status q</w:t>
      </w:r>
      <w:r w:rsidR="00454EA8">
        <w:rPr>
          <w:rFonts w:ascii="Times New Roman" w:hAnsi="Times New Roman" w:cs="Times New Roman"/>
          <w:sz w:val="24"/>
          <w:szCs w:val="24"/>
          <w:u w:val="single"/>
          <w:lang w:eastAsia="ko-KR"/>
        </w:rPr>
        <w:t xml:space="preserve">uo </w:t>
      </w:r>
      <w:r>
        <w:rPr>
          <w:rFonts w:ascii="Times New Roman" w:hAnsi="Times New Roman" w:cs="Times New Roman"/>
          <w:sz w:val="24"/>
          <w:szCs w:val="24"/>
          <w:u w:val="single"/>
          <w:lang w:eastAsia="ko-KR"/>
        </w:rPr>
        <w:t>r</w:t>
      </w:r>
      <w:r w:rsidR="006C1E61" w:rsidRPr="006C1E61">
        <w:rPr>
          <w:rFonts w:ascii="Times New Roman" w:hAnsi="Times New Roman" w:cs="Times New Roman"/>
          <w:sz w:val="24"/>
          <w:szCs w:val="24"/>
          <w:u w:val="single"/>
          <w:lang w:eastAsia="ko-KR"/>
        </w:rPr>
        <w:t>esults</w:t>
      </w:r>
    </w:p>
    <w:p w14:paraId="506505CA" w14:textId="607CAD61" w:rsidR="00454EA8" w:rsidRDefault="00454EA8" w:rsidP="006C1E61">
      <w:pPr>
        <w:spacing w:before="120" w:after="0" w:line="360" w:lineRule="auto"/>
        <w:jc w:val="thaiDistribute"/>
        <w:rPr>
          <w:rFonts w:ascii="Times New Roman" w:hAnsi="Times New Roman" w:cs="Times New Roman"/>
          <w:sz w:val="24"/>
          <w:szCs w:val="24"/>
          <w:lang w:eastAsia="ko-KR"/>
        </w:rPr>
      </w:pPr>
      <w:r>
        <w:rPr>
          <w:rFonts w:ascii="Times New Roman" w:hAnsi="Times New Roman" w:cs="Times New Roman"/>
          <w:sz w:val="24"/>
          <w:szCs w:val="24"/>
          <w:lang w:eastAsia="ko-KR"/>
        </w:rPr>
        <w:t xml:space="preserve">This section presents results under the status quo assumptions. </w:t>
      </w:r>
      <w:r w:rsidRPr="00454EA8">
        <w:rPr>
          <w:rFonts w:ascii="Times New Roman" w:hAnsi="Times New Roman" w:cs="Times New Roman"/>
          <w:sz w:val="24"/>
          <w:szCs w:val="24"/>
          <w:lang w:eastAsia="ko-KR"/>
        </w:rPr>
        <w:t xml:space="preserve">Three inflows to age groups in Thailand are shown in Figure </w:t>
      </w:r>
      <w:r w:rsidR="00C760C5">
        <w:rPr>
          <w:rFonts w:ascii="Times New Roman" w:hAnsi="Times New Roman" w:cs="Times New Roman"/>
          <w:sz w:val="24"/>
          <w:szCs w:val="24"/>
          <w:lang w:eastAsia="ko-KR"/>
        </w:rPr>
        <w:t>9</w:t>
      </w:r>
      <w:r w:rsidRPr="00454EA8">
        <w:rPr>
          <w:rFonts w:ascii="Times New Roman" w:hAnsi="Times New Roman" w:cs="Times New Roman"/>
          <w:sz w:val="24"/>
          <w:szCs w:val="24"/>
          <w:lang w:eastAsia="ko-KR"/>
        </w:rPr>
        <w:t xml:space="preserve">.  Labor income and public cash transfer inflows are fixed by assumption. </w:t>
      </w:r>
      <w:r w:rsidR="00E37C08">
        <w:rPr>
          <w:rFonts w:ascii="Times New Roman" w:hAnsi="Times New Roman" w:cs="Times New Roman"/>
          <w:sz w:val="24"/>
          <w:szCs w:val="24"/>
          <w:lang w:eastAsia="ko-KR"/>
        </w:rPr>
        <w:t xml:space="preserve">As public transfers profiles are fixed by assumption, per capita </w:t>
      </w:r>
      <w:r w:rsidR="007374A7">
        <w:rPr>
          <w:rFonts w:ascii="Times New Roman" w:hAnsi="Times New Roman" w:cs="Times New Roman"/>
          <w:sz w:val="24"/>
          <w:szCs w:val="24"/>
          <w:lang w:eastAsia="ko-KR"/>
        </w:rPr>
        <w:t>p</w:t>
      </w:r>
      <w:r w:rsidRPr="00454EA8">
        <w:rPr>
          <w:rFonts w:ascii="Times New Roman" w:hAnsi="Times New Roman" w:cs="Times New Roman"/>
          <w:sz w:val="24"/>
          <w:szCs w:val="24"/>
          <w:lang w:eastAsia="ko-KR"/>
        </w:rPr>
        <w:t>rivate asset income drops sharply as the number of elderly surviving increases</w:t>
      </w:r>
      <w:r w:rsidR="00BB5FAA">
        <w:rPr>
          <w:rFonts w:ascii="Times New Roman" w:hAnsi="Times New Roman" w:cs="Times New Roman"/>
          <w:sz w:val="24"/>
          <w:szCs w:val="24"/>
          <w:lang w:eastAsia="ko-KR"/>
        </w:rPr>
        <w:t xml:space="preserve">. </w:t>
      </w:r>
    </w:p>
    <w:p w14:paraId="4E9C025B" w14:textId="412339BA" w:rsidR="00454EA8" w:rsidRDefault="00454EA8" w:rsidP="006C1E61">
      <w:pPr>
        <w:spacing w:before="120" w:after="0" w:line="360" w:lineRule="auto"/>
        <w:jc w:val="thaiDistribute"/>
        <w:rPr>
          <w:rFonts w:ascii="Times New Roman" w:hAnsi="Times New Roman" w:cs="Times New Roman"/>
          <w:sz w:val="24"/>
          <w:szCs w:val="24"/>
          <w:lang w:eastAsia="ko-KR"/>
        </w:rPr>
      </w:pPr>
      <w:r>
        <w:rPr>
          <w:rFonts w:ascii="Times New Roman" w:hAnsi="Times New Roman" w:cs="Times New Roman"/>
          <w:noProof/>
          <w:sz w:val="24"/>
          <w:szCs w:val="24"/>
          <w:lang w:bidi="ar-SA"/>
        </w:rPr>
        <w:drawing>
          <wp:inline distT="0" distB="0" distL="0" distR="0" wp14:anchorId="74BCAB07" wp14:editId="53B42604">
            <wp:extent cx="5724525" cy="490156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4901565"/>
                    </a:xfrm>
                    <a:prstGeom prst="rect">
                      <a:avLst/>
                    </a:prstGeom>
                    <a:noFill/>
                  </pic:spPr>
                </pic:pic>
              </a:graphicData>
            </a:graphic>
          </wp:inline>
        </w:drawing>
      </w:r>
    </w:p>
    <w:p w14:paraId="2E957596" w14:textId="4375B626" w:rsidR="00454EA8" w:rsidRDefault="00B17C5D" w:rsidP="006C1E61">
      <w:pPr>
        <w:spacing w:before="120" w:after="0" w:line="360" w:lineRule="auto"/>
        <w:jc w:val="thaiDistribute"/>
        <w:rPr>
          <w:rFonts w:ascii="Times New Roman" w:hAnsi="Times New Roman" w:cs="Times New Roman"/>
          <w:sz w:val="24"/>
          <w:szCs w:val="24"/>
          <w:lang w:eastAsia="ko-KR"/>
        </w:rPr>
      </w:pPr>
      <w:r>
        <w:rPr>
          <w:rFonts w:ascii="Times New Roman" w:hAnsi="Times New Roman" w:cs="Times New Roman"/>
          <w:sz w:val="24"/>
          <w:szCs w:val="24"/>
          <w:lang w:eastAsia="ko-KR"/>
        </w:rPr>
        <w:t xml:space="preserve">Figure </w:t>
      </w:r>
      <w:r w:rsidR="00C760C5">
        <w:rPr>
          <w:rFonts w:ascii="Times New Roman" w:hAnsi="Times New Roman" w:cs="Times New Roman"/>
          <w:sz w:val="24"/>
          <w:szCs w:val="24"/>
          <w:lang w:eastAsia="ko-KR"/>
        </w:rPr>
        <w:t>9</w:t>
      </w:r>
      <w:r>
        <w:rPr>
          <w:rFonts w:ascii="Times New Roman" w:hAnsi="Times New Roman" w:cs="Times New Roman"/>
          <w:sz w:val="24"/>
          <w:szCs w:val="24"/>
          <w:lang w:eastAsia="ko-KR"/>
        </w:rPr>
        <w:t>.</w:t>
      </w:r>
      <w:r w:rsidRPr="00B17C5D">
        <w:t xml:space="preserve"> </w:t>
      </w:r>
      <w:r w:rsidRPr="00B17C5D">
        <w:rPr>
          <w:rFonts w:ascii="Times New Roman" w:hAnsi="Times New Roman" w:cs="Times New Roman"/>
          <w:sz w:val="24"/>
          <w:szCs w:val="24"/>
          <w:lang w:eastAsia="ko-KR"/>
        </w:rPr>
        <w:t xml:space="preserve">Normalized </w:t>
      </w:r>
      <w:r>
        <w:rPr>
          <w:rFonts w:ascii="Times New Roman" w:hAnsi="Times New Roman" w:cs="Times New Roman"/>
          <w:sz w:val="24"/>
          <w:szCs w:val="24"/>
          <w:lang w:eastAsia="ko-KR"/>
        </w:rPr>
        <w:t xml:space="preserve">labor income (yl), private asset income (yaf), and public cash </w:t>
      </w:r>
      <w:r w:rsidRPr="00B17C5D">
        <w:rPr>
          <w:rFonts w:ascii="Times New Roman" w:hAnsi="Times New Roman" w:cs="Times New Roman"/>
          <w:sz w:val="24"/>
          <w:szCs w:val="24"/>
          <w:lang w:eastAsia="ko-KR"/>
        </w:rPr>
        <w:t xml:space="preserve">transfer </w:t>
      </w:r>
      <w:r>
        <w:rPr>
          <w:rFonts w:ascii="Times New Roman" w:hAnsi="Times New Roman" w:cs="Times New Roman"/>
          <w:sz w:val="24"/>
          <w:szCs w:val="24"/>
          <w:lang w:eastAsia="ko-KR"/>
        </w:rPr>
        <w:t>inflows (tgi_cash). Thailand, selected years. status quo scenario.</w:t>
      </w:r>
    </w:p>
    <w:p w14:paraId="271815A9" w14:textId="721F1D21" w:rsidR="006E73B1" w:rsidRDefault="006E73B1" w:rsidP="00135F1C">
      <w:pPr>
        <w:spacing w:before="120" w:after="0" w:line="360" w:lineRule="auto"/>
        <w:ind w:firstLine="720"/>
        <w:jc w:val="thaiDistribute"/>
        <w:rPr>
          <w:rFonts w:ascii="Times New Roman" w:hAnsi="Times New Roman" w:cs="Times New Roman"/>
          <w:sz w:val="24"/>
          <w:szCs w:val="24"/>
          <w:lang w:eastAsia="ko-KR"/>
        </w:rPr>
      </w:pPr>
      <w:r w:rsidRPr="006E73B1">
        <w:rPr>
          <w:rFonts w:ascii="Times New Roman" w:hAnsi="Times New Roman" w:cs="Times New Roman"/>
          <w:sz w:val="24"/>
          <w:szCs w:val="24"/>
          <w:lang w:eastAsia="ko-KR"/>
        </w:rPr>
        <w:t xml:space="preserve">The combined impact of the decline in per capita asset income for the elderly and population aging on private transfers is very dramatic as shown in Figure </w:t>
      </w:r>
      <w:r w:rsidR="00C760C5">
        <w:rPr>
          <w:rFonts w:ascii="Times New Roman" w:hAnsi="Times New Roman" w:cs="Times New Roman"/>
          <w:sz w:val="24"/>
          <w:szCs w:val="24"/>
          <w:lang w:eastAsia="ko-KR"/>
        </w:rPr>
        <w:t>10</w:t>
      </w:r>
      <w:r w:rsidRPr="006E73B1">
        <w:rPr>
          <w:rFonts w:ascii="Times New Roman" w:hAnsi="Times New Roman" w:cs="Times New Roman"/>
          <w:sz w:val="24"/>
          <w:szCs w:val="24"/>
          <w:lang w:eastAsia="ko-KR"/>
        </w:rPr>
        <w:t xml:space="preserve">. </w:t>
      </w:r>
      <w:r w:rsidR="001D3054">
        <w:rPr>
          <w:rFonts w:ascii="Times New Roman" w:hAnsi="Times New Roman" w:cs="Times New Roman"/>
          <w:sz w:val="24"/>
          <w:szCs w:val="24"/>
          <w:lang w:eastAsia="ko-KR"/>
        </w:rPr>
        <w:t>Note that</w:t>
      </w:r>
      <w:r w:rsidR="001D3054" w:rsidRPr="001D3054">
        <w:rPr>
          <w:rFonts w:ascii="Times New Roman" w:hAnsi="Times New Roman" w:cs="Times New Roman"/>
          <w:sz w:val="24"/>
          <w:szCs w:val="24"/>
          <w:lang w:eastAsia="ko-KR"/>
        </w:rPr>
        <w:t xml:space="preserve"> inflows must equal outflows for each age group and </w:t>
      </w:r>
      <w:r w:rsidR="001D3054">
        <w:rPr>
          <w:rFonts w:ascii="Times New Roman" w:hAnsi="Times New Roman" w:cs="Times New Roman"/>
          <w:sz w:val="24"/>
          <w:szCs w:val="24"/>
          <w:lang w:eastAsia="ko-KR"/>
        </w:rPr>
        <w:t>for the economy as a whole</w:t>
      </w:r>
      <w:r w:rsidR="001D3054" w:rsidRPr="001D3054">
        <w:rPr>
          <w:rFonts w:ascii="Times New Roman" w:hAnsi="Times New Roman" w:cs="Times New Roman"/>
          <w:sz w:val="24"/>
          <w:szCs w:val="24"/>
          <w:lang w:eastAsia="ko-KR"/>
        </w:rPr>
        <w:t xml:space="preserve">. </w:t>
      </w:r>
      <w:r w:rsidR="001D3054">
        <w:rPr>
          <w:rFonts w:ascii="Times New Roman" w:hAnsi="Times New Roman" w:cs="Times New Roman"/>
          <w:sz w:val="24"/>
          <w:szCs w:val="24"/>
          <w:lang w:eastAsia="ko-KR"/>
        </w:rPr>
        <w:t>In Thailand, p</w:t>
      </w:r>
      <w:r w:rsidRPr="006E73B1">
        <w:rPr>
          <w:rFonts w:ascii="Times New Roman" w:hAnsi="Times New Roman" w:cs="Times New Roman"/>
          <w:sz w:val="24"/>
          <w:szCs w:val="24"/>
          <w:lang w:eastAsia="ko-KR"/>
        </w:rPr>
        <w:t xml:space="preserve">rivate transfer outflows from the middle-aged and the elderly decline very substantially while those from younger adults (under 40) change very little. Private transfer inflows decline at all ages this leads to a redistribution of private resources from children to the elderly.  </w:t>
      </w:r>
    </w:p>
    <w:p w14:paraId="0609E338" w14:textId="4C03242E" w:rsidR="00B17C5D" w:rsidRDefault="00B17C5D" w:rsidP="006C1E61">
      <w:pPr>
        <w:spacing w:before="120" w:after="0" w:line="360" w:lineRule="auto"/>
        <w:jc w:val="thaiDistribute"/>
        <w:rPr>
          <w:rFonts w:ascii="Times New Roman" w:hAnsi="Times New Roman" w:cs="Times New Roman"/>
          <w:sz w:val="24"/>
          <w:szCs w:val="24"/>
          <w:lang w:eastAsia="ko-KR"/>
        </w:rPr>
      </w:pPr>
      <w:r>
        <w:rPr>
          <w:rFonts w:ascii="Times New Roman" w:hAnsi="Times New Roman" w:cs="Times New Roman"/>
          <w:noProof/>
          <w:sz w:val="24"/>
          <w:szCs w:val="24"/>
          <w:lang w:bidi="ar-SA"/>
        </w:rPr>
        <w:drawing>
          <wp:inline distT="0" distB="0" distL="0" distR="0" wp14:anchorId="301BF708" wp14:editId="0928587B">
            <wp:extent cx="5944235" cy="47491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4235" cy="4749165"/>
                    </a:xfrm>
                    <a:prstGeom prst="rect">
                      <a:avLst/>
                    </a:prstGeom>
                    <a:noFill/>
                  </pic:spPr>
                </pic:pic>
              </a:graphicData>
            </a:graphic>
          </wp:inline>
        </w:drawing>
      </w:r>
    </w:p>
    <w:p w14:paraId="0051CC8B" w14:textId="590DF4CC" w:rsidR="00AB1010" w:rsidRDefault="000B0B1D" w:rsidP="00135F1C">
      <w:pPr>
        <w:spacing w:before="120" w:after="0" w:line="360" w:lineRule="auto"/>
        <w:jc w:val="thaiDistribute"/>
        <w:rPr>
          <w:rFonts w:ascii="Times New Roman" w:hAnsi="Times New Roman" w:cs="Times New Roman"/>
          <w:sz w:val="24"/>
          <w:szCs w:val="24"/>
          <w:lang w:eastAsia="ko-KR"/>
        </w:rPr>
      </w:pPr>
      <w:r w:rsidRPr="000B0B1D">
        <w:rPr>
          <w:rFonts w:ascii="Times New Roman" w:hAnsi="Times New Roman" w:cs="Times New Roman"/>
          <w:sz w:val="24"/>
          <w:szCs w:val="24"/>
          <w:lang w:eastAsia="ko-KR"/>
        </w:rPr>
        <w:t xml:space="preserve">Figure </w:t>
      </w:r>
      <w:r w:rsidR="00C760C5">
        <w:rPr>
          <w:rFonts w:ascii="Times New Roman" w:hAnsi="Times New Roman" w:cs="Times New Roman"/>
          <w:sz w:val="24"/>
          <w:szCs w:val="24"/>
          <w:lang w:eastAsia="ko-KR"/>
        </w:rPr>
        <w:t>10</w:t>
      </w:r>
      <w:r w:rsidRPr="000B0B1D">
        <w:rPr>
          <w:rFonts w:ascii="Times New Roman" w:hAnsi="Times New Roman" w:cs="Times New Roman"/>
          <w:sz w:val="24"/>
          <w:szCs w:val="24"/>
          <w:lang w:eastAsia="ko-KR"/>
        </w:rPr>
        <w:t xml:space="preserve">. </w:t>
      </w:r>
      <w:r w:rsidR="003E4C3F" w:rsidRPr="003E4C3F">
        <w:rPr>
          <w:rFonts w:ascii="Times New Roman" w:hAnsi="Times New Roman" w:cs="Times New Roman"/>
          <w:sz w:val="24"/>
          <w:szCs w:val="24"/>
          <w:lang w:eastAsia="ko-KR"/>
        </w:rPr>
        <w:t xml:space="preserve">Private dependency ratio (DRF) and private transfer outflows, inflows, and net for Thailand, selected years, status quo scenario.  </w:t>
      </w:r>
    </w:p>
    <w:p w14:paraId="680E70D6" w14:textId="54D3CE7A" w:rsidR="0089134D" w:rsidRDefault="000B0B1D" w:rsidP="0089134D">
      <w:pPr>
        <w:spacing w:before="120" w:after="0" w:line="360" w:lineRule="auto"/>
        <w:ind w:firstLine="720"/>
        <w:jc w:val="thaiDistribute"/>
        <w:rPr>
          <w:rFonts w:ascii="Times New Roman" w:hAnsi="Times New Roman" w:cs="Times New Roman"/>
          <w:sz w:val="24"/>
          <w:szCs w:val="24"/>
          <w:lang w:eastAsia="ko-KR"/>
        </w:rPr>
      </w:pPr>
      <w:r w:rsidRPr="000B0B1D">
        <w:rPr>
          <w:rFonts w:ascii="Times New Roman" w:hAnsi="Times New Roman" w:cs="Times New Roman"/>
          <w:sz w:val="24"/>
          <w:szCs w:val="24"/>
          <w:lang w:eastAsia="ko-KR"/>
        </w:rPr>
        <w:t xml:space="preserve">The impact on consumption is shown in Figure </w:t>
      </w:r>
      <w:r w:rsidR="00C760C5">
        <w:rPr>
          <w:rFonts w:ascii="Times New Roman" w:hAnsi="Times New Roman" w:cs="Times New Roman"/>
          <w:sz w:val="24"/>
          <w:szCs w:val="24"/>
          <w:lang w:eastAsia="ko-KR"/>
        </w:rPr>
        <w:t>11</w:t>
      </w:r>
      <w:r w:rsidRPr="000B0B1D">
        <w:rPr>
          <w:rFonts w:ascii="Times New Roman" w:hAnsi="Times New Roman" w:cs="Times New Roman"/>
          <w:sz w:val="24"/>
          <w:szCs w:val="24"/>
          <w:lang w:eastAsia="ko-KR"/>
        </w:rPr>
        <w:t xml:space="preserve">.  Public consumption is fixed at the 2011 level while private consumption declines at all ages except among the very old. Private consumption remains somewhat elevated for those in their late 20s and mid-50s and lowest among those who are in their mid-40s and 70s.  Those at the older ages appear to have lower private consumption.  This is offset to some extent by public consumption.  </w:t>
      </w:r>
      <w:r w:rsidR="0089134D" w:rsidRPr="0089134D">
        <w:rPr>
          <w:rFonts w:ascii="Times New Roman" w:hAnsi="Times New Roman" w:cs="Times New Roman"/>
          <w:sz w:val="24"/>
          <w:szCs w:val="24"/>
          <w:lang w:eastAsia="ko-KR"/>
        </w:rPr>
        <w:t xml:space="preserve">Population aging does not lead to deficits under the status quo scenario.  Public saving would be positive and rising steadily as a share of GDP eventually reaching an unrealistic 15 percent of GDP.  Public assets would as a consequence exceed 3.5 times GDP at the end of the century.  This is not a realistic outcome and it seems likely that as Thailand continues to develop and age, public spending on the elderly will increase.  </w:t>
      </w:r>
    </w:p>
    <w:p w14:paraId="1C776C5D" w14:textId="45583011" w:rsidR="006D4DA9" w:rsidRDefault="006D4DA9" w:rsidP="0089134D">
      <w:pPr>
        <w:spacing w:before="120" w:after="0" w:line="360" w:lineRule="auto"/>
        <w:ind w:firstLine="720"/>
        <w:jc w:val="thaiDistribute"/>
        <w:rPr>
          <w:rFonts w:ascii="Times New Roman" w:hAnsi="Times New Roman" w:cs="Times New Roman"/>
          <w:sz w:val="24"/>
          <w:szCs w:val="24"/>
          <w:lang w:eastAsia="ko-KR"/>
        </w:rPr>
      </w:pPr>
      <w:r>
        <w:rPr>
          <w:noProof/>
          <w:lang w:bidi="ar-SA"/>
        </w:rPr>
        <w:drawing>
          <wp:inline distT="0" distB="0" distL="0" distR="0" wp14:anchorId="6338D411" wp14:editId="406EBDDB">
            <wp:extent cx="4667250" cy="37338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70405" cy="3736324"/>
                    </a:xfrm>
                    <a:prstGeom prst="rect">
                      <a:avLst/>
                    </a:prstGeom>
                  </pic:spPr>
                </pic:pic>
              </a:graphicData>
            </a:graphic>
          </wp:inline>
        </w:drawing>
      </w:r>
    </w:p>
    <w:p w14:paraId="56367129" w14:textId="06036FEC" w:rsidR="006D4DA9" w:rsidRDefault="003E4C3F" w:rsidP="0089134D">
      <w:pPr>
        <w:spacing w:before="120" w:after="0" w:line="360" w:lineRule="auto"/>
        <w:ind w:firstLine="720"/>
        <w:jc w:val="thaiDistribute"/>
        <w:rPr>
          <w:rFonts w:ascii="Times New Roman" w:hAnsi="Times New Roman" w:cs="Times New Roman"/>
          <w:sz w:val="24"/>
          <w:szCs w:val="24"/>
          <w:lang w:eastAsia="ko-KR"/>
        </w:rPr>
      </w:pPr>
      <w:r w:rsidRPr="003E4C3F">
        <w:rPr>
          <w:rFonts w:ascii="Times New Roman" w:hAnsi="Times New Roman" w:cs="Times New Roman"/>
          <w:sz w:val="24"/>
          <w:szCs w:val="24"/>
          <w:lang w:eastAsia="ko-KR"/>
        </w:rPr>
        <w:t xml:space="preserve">Figure </w:t>
      </w:r>
      <w:r>
        <w:rPr>
          <w:rFonts w:ascii="Times New Roman" w:hAnsi="Times New Roman" w:cs="Times New Roman"/>
          <w:sz w:val="24"/>
          <w:szCs w:val="24"/>
          <w:lang w:eastAsia="ko-KR"/>
        </w:rPr>
        <w:t>11.</w:t>
      </w:r>
      <w:r w:rsidRPr="003E4C3F">
        <w:rPr>
          <w:rFonts w:ascii="Times New Roman" w:hAnsi="Times New Roman" w:cs="Times New Roman"/>
          <w:sz w:val="24"/>
          <w:szCs w:val="24"/>
          <w:lang w:eastAsia="ko-KR"/>
        </w:rPr>
        <w:t xml:space="preserve"> Consumption by age, combined, public, and private, </w:t>
      </w:r>
      <w:r>
        <w:rPr>
          <w:rFonts w:ascii="Times New Roman" w:hAnsi="Times New Roman" w:cs="Times New Roman"/>
          <w:sz w:val="24"/>
          <w:szCs w:val="24"/>
          <w:lang w:eastAsia="ko-KR"/>
        </w:rPr>
        <w:t xml:space="preserve">Thailand, </w:t>
      </w:r>
      <w:r w:rsidRPr="003E4C3F">
        <w:rPr>
          <w:rFonts w:ascii="Times New Roman" w:hAnsi="Times New Roman" w:cs="Times New Roman"/>
          <w:sz w:val="24"/>
          <w:szCs w:val="24"/>
          <w:lang w:eastAsia="ko-KR"/>
        </w:rPr>
        <w:t xml:space="preserve">status quo scenarios.  </w:t>
      </w:r>
    </w:p>
    <w:p w14:paraId="62889E5A" w14:textId="3AFB961E" w:rsidR="004E6992" w:rsidRPr="005D788D" w:rsidRDefault="004E6992" w:rsidP="004E6992">
      <w:pPr>
        <w:spacing w:before="120" w:after="0" w:line="360" w:lineRule="auto"/>
        <w:ind w:firstLine="720"/>
        <w:jc w:val="thaiDistribute"/>
        <w:rPr>
          <w:rFonts w:ascii="Times New Roman" w:hAnsi="Times New Roman" w:cs="Times New Roman"/>
          <w:sz w:val="24"/>
          <w:szCs w:val="24"/>
          <w:u w:val="single"/>
          <w:lang w:eastAsia="ko-KR"/>
        </w:rPr>
      </w:pPr>
      <w:r>
        <w:rPr>
          <w:rFonts w:ascii="Times New Roman" w:hAnsi="Times New Roman" w:cs="Times New Roman"/>
          <w:sz w:val="24"/>
          <w:szCs w:val="24"/>
          <w:u w:val="single"/>
          <w:lang w:eastAsia="ko-KR"/>
        </w:rPr>
        <w:t>Capitalist transformation scenarios</w:t>
      </w:r>
    </w:p>
    <w:p w14:paraId="3DAA7E6F" w14:textId="773AB67A" w:rsidR="006A21DD" w:rsidRDefault="0089134D" w:rsidP="00135F1C">
      <w:pPr>
        <w:spacing w:before="120" w:after="0" w:line="360" w:lineRule="auto"/>
        <w:ind w:firstLine="720"/>
        <w:jc w:val="thaiDistribute"/>
        <w:rPr>
          <w:noProof/>
          <w:lang w:eastAsia="ko-KR"/>
        </w:rPr>
      </w:pPr>
      <w:r w:rsidRPr="0089134D">
        <w:rPr>
          <w:rFonts w:ascii="Times New Roman" w:hAnsi="Times New Roman" w:cs="Times New Roman"/>
          <w:sz w:val="24"/>
          <w:szCs w:val="24"/>
          <w:lang w:eastAsia="ko-KR"/>
        </w:rPr>
        <w:t xml:space="preserve">The capital scenario for Thailand would begin in 2020 and be completed by the time it reach high income status in 2063.  Under the capitalist scenario, as compared with current spending normalized per capita public spending on children would decline and public transfers to the elderly would rise sharply.  The shifts in public transfer inflows and outflows are shown in Figure </w:t>
      </w:r>
      <w:r w:rsidR="00BB697C">
        <w:rPr>
          <w:rFonts w:ascii="Times New Roman" w:hAnsi="Times New Roman" w:cs="Times New Roman"/>
          <w:sz w:val="24"/>
          <w:szCs w:val="24"/>
          <w:lang w:eastAsia="ko-KR"/>
        </w:rPr>
        <w:t>12</w:t>
      </w:r>
      <w:r w:rsidRPr="0089134D">
        <w:rPr>
          <w:rFonts w:ascii="Times New Roman" w:hAnsi="Times New Roman" w:cs="Times New Roman"/>
          <w:sz w:val="24"/>
          <w:szCs w:val="24"/>
          <w:lang w:eastAsia="ko-KR"/>
        </w:rPr>
        <w:t xml:space="preserve">.  </w:t>
      </w:r>
      <w:r w:rsidR="00BB697C">
        <w:rPr>
          <w:rFonts w:ascii="Times New Roman" w:hAnsi="Times New Roman" w:cs="Times New Roman"/>
          <w:sz w:val="24"/>
          <w:szCs w:val="24"/>
          <w:lang w:eastAsia="ko-KR"/>
        </w:rPr>
        <w:t>T</w:t>
      </w:r>
      <w:r w:rsidRPr="0089134D">
        <w:rPr>
          <w:rFonts w:ascii="Times New Roman" w:hAnsi="Times New Roman" w:cs="Times New Roman"/>
          <w:sz w:val="24"/>
          <w:szCs w:val="24"/>
          <w:lang w:eastAsia="ko-KR"/>
        </w:rPr>
        <w:t>he public transfer outflows increase mostly sharply for young and middle aged adults.  Net public transfers decline the most for those in their late thirties and forties.  The impact of public sector spending is to increase consumption of the elderly relative to labor income and to reduce consumption by adults and children.  Both private and public consumption at older ages rise sharply.</w:t>
      </w:r>
      <w:r w:rsidR="003E4C3F" w:rsidRPr="003E4C3F">
        <w:rPr>
          <w:noProof/>
          <w:lang w:eastAsia="ko-KR"/>
        </w:rPr>
        <w:t xml:space="preserve"> </w:t>
      </w:r>
    </w:p>
    <w:p w14:paraId="74F25CF3" w14:textId="50C1344D" w:rsidR="00F16CE1" w:rsidRDefault="003E4C3F" w:rsidP="00BB697C">
      <w:pPr>
        <w:spacing w:before="120" w:after="0" w:line="360" w:lineRule="auto"/>
        <w:jc w:val="thaiDistribute"/>
        <w:rPr>
          <w:rFonts w:ascii="Times New Roman" w:hAnsi="Times New Roman" w:cs="Times New Roman"/>
          <w:sz w:val="24"/>
          <w:szCs w:val="24"/>
          <w:lang w:eastAsia="ko-KR"/>
        </w:rPr>
      </w:pPr>
      <w:r>
        <w:rPr>
          <w:noProof/>
          <w:lang w:bidi="ar-SA"/>
        </w:rPr>
        <w:drawing>
          <wp:inline distT="0" distB="0" distL="0" distR="0" wp14:anchorId="7473D1EB" wp14:editId="4D576EF0">
            <wp:extent cx="5943600" cy="476313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4763135"/>
                    </a:xfrm>
                    <a:prstGeom prst="rect">
                      <a:avLst/>
                    </a:prstGeom>
                  </pic:spPr>
                </pic:pic>
              </a:graphicData>
            </a:graphic>
          </wp:inline>
        </w:drawing>
      </w:r>
    </w:p>
    <w:p w14:paraId="4FBE95B9" w14:textId="703B3553" w:rsidR="006A21DD" w:rsidRDefault="006A21DD" w:rsidP="00135F1C">
      <w:pPr>
        <w:spacing w:before="120" w:after="0" w:line="360" w:lineRule="auto"/>
        <w:ind w:firstLine="720"/>
        <w:jc w:val="thaiDistribute"/>
        <w:rPr>
          <w:rFonts w:ascii="Times New Roman" w:hAnsi="Times New Roman" w:cs="Times New Roman"/>
          <w:sz w:val="24"/>
          <w:szCs w:val="24"/>
          <w:lang w:eastAsia="ko-KR"/>
        </w:rPr>
      </w:pPr>
      <w:r w:rsidRPr="006A21DD">
        <w:rPr>
          <w:rFonts w:ascii="Times New Roman" w:hAnsi="Times New Roman" w:cs="Times New Roman"/>
          <w:sz w:val="24"/>
          <w:szCs w:val="24"/>
          <w:lang w:eastAsia="ko-KR"/>
        </w:rPr>
        <w:t xml:space="preserve">Figure </w:t>
      </w:r>
      <w:r>
        <w:rPr>
          <w:rFonts w:ascii="Times New Roman" w:hAnsi="Times New Roman" w:cs="Times New Roman"/>
          <w:sz w:val="24"/>
          <w:szCs w:val="24"/>
          <w:lang w:eastAsia="ko-KR"/>
        </w:rPr>
        <w:t>12</w:t>
      </w:r>
      <w:r w:rsidRPr="006A21DD">
        <w:rPr>
          <w:rFonts w:ascii="Times New Roman" w:hAnsi="Times New Roman" w:cs="Times New Roman"/>
          <w:sz w:val="24"/>
          <w:szCs w:val="24"/>
          <w:lang w:eastAsia="ko-KR"/>
        </w:rPr>
        <w:t xml:space="preserve">.  Public transfers by age, Thailand, selected years, capitalist scenario.  Constraints are imposed to insure that public transfer inflows do not exceed 35 percent and public debt does not exceed 90 percent of GDP.  </w:t>
      </w:r>
    </w:p>
    <w:p w14:paraId="5D82B432" w14:textId="22776CAB" w:rsidR="006A21DD" w:rsidRDefault="006A21DD" w:rsidP="00135F1C">
      <w:pPr>
        <w:spacing w:before="120" w:after="0" w:line="360" w:lineRule="auto"/>
        <w:ind w:firstLine="720"/>
        <w:jc w:val="thaiDistribute"/>
        <w:rPr>
          <w:rFonts w:ascii="Times New Roman" w:hAnsi="Times New Roman" w:cs="Times New Roman"/>
          <w:sz w:val="24"/>
          <w:szCs w:val="24"/>
          <w:lang w:eastAsia="ko-KR"/>
        </w:rPr>
      </w:pPr>
      <w:r w:rsidRPr="006A21DD">
        <w:rPr>
          <w:rFonts w:ascii="Times New Roman" w:hAnsi="Times New Roman" w:cs="Times New Roman"/>
          <w:sz w:val="24"/>
          <w:szCs w:val="24"/>
          <w:lang w:eastAsia="ko-KR"/>
        </w:rPr>
        <w:t>The impact of public sector spending is to increase consumption of the elderly relative to labor income and to reduce consumption by adults and children.  Both private and public consumption at older ages rise sharply</w:t>
      </w:r>
      <w:r w:rsidR="00BB697C">
        <w:rPr>
          <w:rFonts w:ascii="Times New Roman" w:hAnsi="Times New Roman" w:cs="Times New Roman"/>
          <w:sz w:val="24"/>
          <w:szCs w:val="24"/>
          <w:lang w:eastAsia="ko-KR"/>
        </w:rPr>
        <w:t xml:space="preserve"> (Figure 13)</w:t>
      </w:r>
      <w:r w:rsidRPr="006A21DD">
        <w:rPr>
          <w:rFonts w:ascii="Times New Roman" w:hAnsi="Times New Roman" w:cs="Times New Roman"/>
          <w:sz w:val="24"/>
          <w:szCs w:val="24"/>
          <w:lang w:eastAsia="ko-KR"/>
        </w:rPr>
        <w:t>.</w:t>
      </w:r>
    </w:p>
    <w:p w14:paraId="539AE841" w14:textId="0036AC9F" w:rsidR="00822111" w:rsidRDefault="003E4C3F" w:rsidP="00135F1C">
      <w:pPr>
        <w:spacing w:before="120" w:after="0" w:line="360" w:lineRule="auto"/>
        <w:ind w:firstLine="720"/>
        <w:jc w:val="thaiDistribute"/>
        <w:rPr>
          <w:rFonts w:ascii="Times New Roman" w:hAnsi="Times New Roman" w:cs="Times New Roman"/>
          <w:sz w:val="24"/>
          <w:szCs w:val="24"/>
          <w:lang w:eastAsia="ko-KR"/>
        </w:rPr>
      </w:pPr>
      <w:r>
        <w:rPr>
          <w:noProof/>
          <w:lang w:bidi="ar-SA"/>
        </w:rPr>
        <w:drawing>
          <wp:inline distT="0" distB="0" distL="0" distR="0" wp14:anchorId="4C88F4B3" wp14:editId="2989B3EC">
            <wp:extent cx="5943600" cy="607885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6078855"/>
                    </a:xfrm>
                    <a:prstGeom prst="rect">
                      <a:avLst/>
                    </a:prstGeom>
                  </pic:spPr>
                </pic:pic>
              </a:graphicData>
            </a:graphic>
          </wp:inline>
        </w:drawing>
      </w:r>
    </w:p>
    <w:p w14:paraId="3C14AA14" w14:textId="4BEF117A" w:rsidR="00F16CE1" w:rsidRDefault="006A21DD" w:rsidP="00135F1C">
      <w:pPr>
        <w:spacing w:before="120" w:after="0" w:line="360" w:lineRule="auto"/>
        <w:ind w:firstLine="720"/>
        <w:jc w:val="thaiDistribute"/>
        <w:rPr>
          <w:rFonts w:ascii="Times New Roman" w:hAnsi="Times New Roman" w:cs="Times New Roman"/>
          <w:sz w:val="24"/>
          <w:szCs w:val="24"/>
          <w:lang w:eastAsia="ko-KR"/>
        </w:rPr>
      </w:pPr>
      <w:r w:rsidRPr="006A21DD">
        <w:rPr>
          <w:rFonts w:ascii="Times New Roman" w:hAnsi="Times New Roman" w:cs="Times New Roman"/>
          <w:sz w:val="24"/>
          <w:szCs w:val="24"/>
          <w:lang w:eastAsia="ko-KR"/>
        </w:rPr>
        <w:t xml:space="preserve">Figure </w:t>
      </w:r>
      <w:r>
        <w:rPr>
          <w:rFonts w:ascii="Times New Roman" w:hAnsi="Times New Roman" w:cs="Times New Roman"/>
          <w:sz w:val="24"/>
          <w:szCs w:val="24"/>
          <w:lang w:eastAsia="ko-KR"/>
        </w:rPr>
        <w:t>13</w:t>
      </w:r>
      <w:r w:rsidRPr="006A21DD">
        <w:rPr>
          <w:rFonts w:ascii="Times New Roman" w:hAnsi="Times New Roman" w:cs="Times New Roman"/>
          <w:sz w:val="24"/>
          <w:szCs w:val="24"/>
          <w:lang w:eastAsia="ko-KR"/>
        </w:rPr>
        <w:t xml:space="preserve">.  Normalized consumption by age, Thailand, </w:t>
      </w:r>
      <w:r>
        <w:rPr>
          <w:rFonts w:ascii="Times New Roman" w:hAnsi="Times New Roman" w:cs="Times New Roman"/>
          <w:sz w:val="24"/>
          <w:szCs w:val="24"/>
          <w:lang w:eastAsia="ko-KR"/>
        </w:rPr>
        <w:t>c</w:t>
      </w:r>
      <w:r w:rsidRPr="006A21DD">
        <w:rPr>
          <w:rFonts w:ascii="Times New Roman" w:hAnsi="Times New Roman" w:cs="Times New Roman"/>
          <w:sz w:val="24"/>
          <w:szCs w:val="24"/>
          <w:lang w:eastAsia="ko-KR"/>
        </w:rPr>
        <w:t xml:space="preserve">apitalist scenario </w:t>
      </w:r>
    </w:p>
    <w:p w14:paraId="5A90A9D2" w14:textId="77777777" w:rsidR="00BB697C" w:rsidRDefault="00BB697C" w:rsidP="00135F1C">
      <w:pPr>
        <w:spacing w:before="120" w:after="0" w:line="360" w:lineRule="auto"/>
        <w:ind w:firstLine="720"/>
        <w:jc w:val="thaiDistribute"/>
        <w:rPr>
          <w:rFonts w:ascii="Times New Roman" w:hAnsi="Times New Roman" w:cs="Times New Roman"/>
          <w:sz w:val="24"/>
          <w:szCs w:val="24"/>
          <w:u w:val="single"/>
          <w:lang w:eastAsia="ko-KR"/>
        </w:rPr>
      </w:pPr>
    </w:p>
    <w:p w14:paraId="7FCD9D0D" w14:textId="3FF0537C" w:rsidR="00F16CE1" w:rsidRDefault="003E4C3F" w:rsidP="00135F1C">
      <w:pPr>
        <w:spacing w:before="120" w:after="0" w:line="360" w:lineRule="auto"/>
        <w:ind w:firstLine="720"/>
        <w:jc w:val="thaiDistribute"/>
        <w:rPr>
          <w:rFonts w:ascii="Times New Roman" w:hAnsi="Times New Roman" w:cs="Times New Roman"/>
          <w:sz w:val="24"/>
          <w:szCs w:val="24"/>
          <w:u w:val="single"/>
          <w:lang w:eastAsia="ko-KR"/>
        </w:rPr>
      </w:pPr>
      <w:r>
        <w:rPr>
          <w:rFonts w:ascii="Times New Roman" w:hAnsi="Times New Roman" w:cs="Times New Roman"/>
          <w:sz w:val="24"/>
          <w:szCs w:val="24"/>
          <w:u w:val="single"/>
          <w:lang w:eastAsia="ko-KR"/>
        </w:rPr>
        <w:t>Comparison with s</w:t>
      </w:r>
      <w:r w:rsidR="0089134D" w:rsidRPr="00135F1C">
        <w:rPr>
          <w:rFonts w:ascii="Times New Roman" w:hAnsi="Times New Roman" w:cs="Times New Roman"/>
          <w:sz w:val="24"/>
          <w:szCs w:val="24"/>
          <w:u w:val="single"/>
          <w:lang w:eastAsia="ko-KR"/>
        </w:rPr>
        <w:t>ocial welfare scenarios</w:t>
      </w:r>
    </w:p>
    <w:p w14:paraId="498B9196" w14:textId="2934F42F" w:rsidR="00040174" w:rsidRDefault="00040174" w:rsidP="00135F1C">
      <w:pPr>
        <w:spacing w:before="120" w:after="0" w:line="360" w:lineRule="auto"/>
        <w:jc w:val="thaiDistribute"/>
        <w:rPr>
          <w:rFonts w:ascii="Times New Roman" w:hAnsi="Times New Roman" w:cs="Times New Roman"/>
          <w:sz w:val="24"/>
          <w:szCs w:val="24"/>
          <w:lang w:eastAsia="ko-KR"/>
        </w:rPr>
      </w:pPr>
      <w:r>
        <w:rPr>
          <w:rFonts w:ascii="Times New Roman" w:hAnsi="Times New Roman" w:cs="Times New Roman"/>
          <w:sz w:val="24"/>
          <w:szCs w:val="24"/>
          <w:lang w:eastAsia="ko-KR"/>
        </w:rPr>
        <w:t>T</w:t>
      </w:r>
      <w:r w:rsidR="005A526C" w:rsidRPr="005A526C">
        <w:rPr>
          <w:rFonts w:ascii="Times New Roman" w:hAnsi="Times New Roman" w:cs="Times New Roman"/>
          <w:sz w:val="24"/>
          <w:szCs w:val="24"/>
          <w:lang w:eastAsia="ko-KR"/>
        </w:rPr>
        <w:t xml:space="preserve">he </w:t>
      </w:r>
      <w:r w:rsidR="005A526C">
        <w:rPr>
          <w:rFonts w:ascii="Times New Roman" w:hAnsi="Times New Roman" w:cs="Times New Roman"/>
          <w:sz w:val="24"/>
          <w:szCs w:val="24"/>
          <w:lang w:eastAsia="ko-KR"/>
        </w:rPr>
        <w:t>social welfare</w:t>
      </w:r>
      <w:r w:rsidR="005A526C" w:rsidRPr="005A526C">
        <w:rPr>
          <w:rFonts w:ascii="Times New Roman" w:hAnsi="Times New Roman" w:cs="Times New Roman"/>
          <w:sz w:val="24"/>
          <w:szCs w:val="24"/>
          <w:lang w:eastAsia="ko-KR"/>
        </w:rPr>
        <w:t xml:space="preserve"> scenario</w:t>
      </w:r>
      <w:r>
        <w:rPr>
          <w:rFonts w:ascii="Times New Roman" w:hAnsi="Times New Roman" w:cs="Times New Roman"/>
          <w:sz w:val="24"/>
          <w:szCs w:val="24"/>
          <w:lang w:eastAsia="ko-KR"/>
        </w:rPr>
        <w:t xml:space="preserve"> is similar to the capitalist scenario as</w:t>
      </w:r>
      <w:r w:rsidR="005A526C" w:rsidRPr="005A526C">
        <w:rPr>
          <w:rFonts w:ascii="Times New Roman" w:hAnsi="Times New Roman" w:cs="Times New Roman"/>
          <w:sz w:val="24"/>
          <w:szCs w:val="24"/>
          <w:lang w:eastAsia="ko-KR"/>
        </w:rPr>
        <w:t xml:space="preserve"> per capita public spending </w:t>
      </w:r>
      <w:r w:rsidR="00D42B56">
        <w:rPr>
          <w:rFonts w:ascii="Times New Roman" w:hAnsi="Times New Roman" w:cs="Times New Roman"/>
          <w:sz w:val="24"/>
          <w:szCs w:val="24"/>
          <w:lang w:eastAsia="ko-KR"/>
        </w:rPr>
        <w:t xml:space="preserve">and consumption </w:t>
      </w:r>
      <w:r w:rsidR="005A526C" w:rsidRPr="005A526C">
        <w:rPr>
          <w:rFonts w:ascii="Times New Roman" w:hAnsi="Times New Roman" w:cs="Times New Roman"/>
          <w:sz w:val="24"/>
          <w:szCs w:val="24"/>
          <w:lang w:eastAsia="ko-KR"/>
        </w:rPr>
        <w:t>on children would decline and public transfers</w:t>
      </w:r>
      <w:r w:rsidR="00D42B56">
        <w:rPr>
          <w:rFonts w:ascii="Times New Roman" w:hAnsi="Times New Roman" w:cs="Times New Roman"/>
          <w:sz w:val="24"/>
          <w:szCs w:val="24"/>
          <w:lang w:eastAsia="ko-KR"/>
        </w:rPr>
        <w:t xml:space="preserve"> and consumption</w:t>
      </w:r>
      <w:r w:rsidR="005A526C" w:rsidRPr="005A526C">
        <w:rPr>
          <w:rFonts w:ascii="Times New Roman" w:hAnsi="Times New Roman" w:cs="Times New Roman"/>
          <w:sz w:val="24"/>
          <w:szCs w:val="24"/>
          <w:lang w:eastAsia="ko-KR"/>
        </w:rPr>
        <w:t xml:space="preserve"> to the elderly would rise sharply.</w:t>
      </w:r>
      <w:r>
        <w:rPr>
          <w:rFonts w:ascii="Times New Roman" w:hAnsi="Times New Roman" w:cs="Times New Roman"/>
          <w:sz w:val="24"/>
          <w:szCs w:val="24"/>
          <w:lang w:eastAsia="ko-KR"/>
        </w:rPr>
        <w:t xml:space="preserve"> The</w:t>
      </w:r>
      <w:r w:rsidR="008D04A6">
        <w:rPr>
          <w:rFonts w:ascii="Times New Roman" w:hAnsi="Times New Roman" w:cs="Times New Roman"/>
          <w:sz w:val="24"/>
          <w:szCs w:val="24"/>
          <w:lang w:eastAsia="ko-KR"/>
        </w:rPr>
        <w:t xml:space="preserve"> major</w:t>
      </w:r>
      <w:r>
        <w:rPr>
          <w:rFonts w:ascii="Times New Roman" w:hAnsi="Times New Roman" w:cs="Times New Roman"/>
          <w:sz w:val="24"/>
          <w:szCs w:val="24"/>
          <w:lang w:eastAsia="ko-KR"/>
        </w:rPr>
        <w:t xml:space="preserve"> difference between the capitalist approach and the </w:t>
      </w:r>
      <w:r w:rsidR="008D04A6">
        <w:rPr>
          <w:rFonts w:ascii="Times New Roman" w:hAnsi="Times New Roman" w:cs="Times New Roman"/>
          <w:sz w:val="24"/>
          <w:szCs w:val="24"/>
          <w:lang w:eastAsia="ko-KR"/>
        </w:rPr>
        <w:t>social welfare approach is that the transfers</w:t>
      </w:r>
      <w:r w:rsidRPr="00040174">
        <w:rPr>
          <w:rFonts w:ascii="Times New Roman" w:hAnsi="Times New Roman" w:cs="Times New Roman"/>
          <w:sz w:val="24"/>
          <w:szCs w:val="24"/>
          <w:lang w:eastAsia="ko-KR"/>
        </w:rPr>
        <w:t xml:space="preserve"> to the elderly </w:t>
      </w:r>
      <w:r>
        <w:rPr>
          <w:rFonts w:ascii="Times New Roman" w:hAnsi="Times New Roman" w:cs="Times New Roman"/>
          <w:sz w:val="24"/>
          <w:szCs w:val="24"/>
          <w:lang w:eastAsia="ko-KR"/>
        </w:rPr>
        <w:t>i</w:t>
      </w:r>
      <w:r w:rsidR="008D04A6">
        <w:rPr>
          <w:rFonts w:ascii="Times New Roman" w:hAnsi="Times New Roman" w:cs="Times New Roman"/>
          <w:sz w:val="24"/>
          <w:szCs w:val="24"/>
          <w:lang w:eastAsia="ko-KR"/>
        </w:rPr>
        <w:t xml:space="preserve">ncreases </w:t>
      </w:r>
      <w:r>
        <w:rPr>
          <w:rFonts w:ascii="Times New Roman" w:hAnsi="Times New Roman" w:cs="Times New Roman"/>
          <w:sz w:val="24"/>
          <w:szCs w:val="24"/>
          <w:lang w:eastAsia="ko-KR"/>
        </w:rPr>
        <w:t xml:space="preserve">even more </w:t>
      </w:r>
      <w:r w:rsidRPr="00040174">
        <w:rPr>
          <w:rFonts w:ascii="Times New Roman" w:hAnsi="Times New Roman" w:cs="Times New Roman"/>
          <w:sz w:val="24"/>
          <w:szCs w:val="24"/>
          <w:lang w:eastAsia="ko-KR"/>
        </w:rPr>
        <w:t>sharply</w:t>
      </w:r>
      <w:r w:rsidR="00D42B56">
        <w:rPr>
          <w:rFonts w:ascii="Times New Roman" w:hAnsi="Times New Roman" w:cs="Times New Roman"/>
          <w:sz w:val="24"/>
          <w:szCs w:val="24"/>
          <w:lang w:eastAsia="ko-KR"/>
        </w:rPr>
        <w:t>. The public transfer inflows reaches 35 percent in 2050</w:t>
      </w:r>
      <w:r w:rsidR="008D04A6">
        <w:rPr>
          <w:rFonts w:ascii="Times New Roman" w:hAnsi="Times New Roman" w:cs="Times New Roman"/>
          <w:sz w:val="24"/>
          <w:szCs w:val="24"/>
          <w:lang w:eastAsia="ko-KR"/>
        </w:rPr>
        <w:t xml:space="preserve"> </w:t>
      </w:r>
      <w:r w:rsidR="008D04A6" w:rsidRPr="008D04A6">
        <w:rPr>
          <w:rFonts w:ascii="Times New Roman" w:hAnsi="Times New Roman" w:cs="Times New Roman"/>
          <w:sz w:val="24"/>
          <w:szCs w:val="24"/>
          <w:lang w:eastAsia="ko-KR"/>
        </w:rPr>
        <w:t>under the social welfare approach</w:t>
      </w:r>
      <w:r w:rsidR="00D42B56">
        <w:rPr>
          <w:rFonts w:ascii="Times New Roman" w:hAnsi="Times New Roman" w:cs="Times New Roman"/>
          <w:sz w:val="24"/>
          <w:szCs w:val="24"/>
          <w:lang w:eastAsia="ko-KR"/>
        </w:rPr>
        <w:t xml:space="preserve"> (Figures 14 and 15)</w:t>
      </w:r>
    </w:p>
    <w:p w14:paraId="7ACFC4FD" w14:textId="196EF8AA" w:rsidR="00BB697C" w:rsidRPr="00135F1C" w:rsidRDefault="005A526C" w:rsidP="00135F1C">
      <w:pPr>
        <w:spacing w:before="120" w:after="0" w:line="360" w:lineRule="auto"/>
        <w:jc w:val="thaiDistribute"/>
        <w:rPr>
          <w:rFonts w:ascii="Times New Roman" w:hAnsi="Times New Roman" w:cs="Times New Roman"/>
          <w:sz w:val="24"/>
          <w:szCs w:val="24"/>
          <w:lang w:eastAsia="ko-KR"/>
        </w:rPr>
      </w:pPr>
      <w:r w:rsidRPr="0089134D">
        <w:rPr>
          <w:rFonts w:ascii="Times New Roman" w:hAnsi="Times New Roman" w:cs="Times New Roman"/>
          <w:noProof/>
          <w:sz w:val="24"/>
          <w:szCs w:val="24"/>
          <w:lang w:bidi="ar-SA"/>
        </w:rPr>
        <w:drawing>
          <wp:inline distT="0" distB="0" distL="0" distR="0" wp14:anchorId="6EC5C243" wp14:editId="513674F0">
            <wp:extent cx="6181090" cy="482917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0887" cy="4836829"/>
                    </a:xfrm>
                    <a:prstGeom prst="rect">
                      <a:avLst/>
                    </a:prstGeom>
                    <a:noFill/>
                    <a:ln>
                      <a:noFill/>
                    </a:ln>
                  </pic:spPr>
                </pic:pic>
              </a:graphicData>
            </a:graphic>
          </wp:inline>
        </w:drawing>
      </w:r>
    </w:p>
    <w:p w14:paraId="3D21F142" w14:textId="77777777" w:rsidR="008D04A6" w:rsidRPr="00135F1C" w:rsidRDefault="008D04A6" w:rsidP="00135F1C">
      <w:pPr>
        <w:spacing w:before="120" w:after="0" w:line="360" w:lineRule="auto"/>
        <w:jc w:val="thaiDistribute"/>
        <w:rPr>
          <w:rFonts w:ascii="Times New Roman" w:hAnsi="Times New Roman" w:cs="Times New Roman"/>
          <w:noProof/>
          <w:sz w:val="24"/>
          <w:szCs w:val="24"/>
          <w:lang w:eastAsia="ko-KR" w:bidi="ar-SA"/>
        </w:rPr>
      </w:pPr>
    </w:p>
    <w:p w14:paraId="5A313755" w14:textId="3622B7D8" w:rsidR="008D04A6" w:rsidRPr="00135F1C" w:rsidRDefault="008D04A6" w:rsidP="00135F1C">
      <w:pPr>
        <w:spacing w:before="120" w:after="0" w:line="360" w:lineRule="auto"/>
        <w:jc w:val="thaiDistribute"/>
        <w:rPr>
          <w:rFonts w:ascii="Times New Roman" w:hAnsi="Times New Roman" w:cs="Times New Roman"/>
          <w:noProof/>
          <w:sz w:val="24"/>
          <w:szCs w:val="24"/>
          <w:lang w:eastAsia="ko-KR" w:bidi="ar-SA"/>
        </w:rPr>
      </w:pPr>
      <w:r w:rsidRPr="00135F1C">
        <w:rPr>
          <w:rFonts w:ascii="Times New Roman" w:hAnsi="Times New Roman" w:cs="Times New Roman"/>
          <w:noProof/>
          <w:sz w:val="24"/>
          <w:szCs w:val="24"/>
          <w:lang w:eastAsia="ko-KR" w:bidi="ar-SA"/>
        </w:rPr>
        <w:t>Figure 1</w:t>
      </w:r>
      <w:r>
        <w:rPr>
          <w:rFonts w:ascii="Times New Roman" w:hAnsi="Times New Roman" w:cs="Times New Roman"/>
          <w:noProof/>
          <w:sz w:val="24"/>
          <w:szCs w:val="24"/>
          <w:lang w:eastAsia="ko-KR" w:bidi="ar-SA"/>
        </w:rPr>
        <w:t>4</w:t>
      </w:r>
      <w:r w:rsidRPr="00135F1C">
        <w:rPr>
          <w:rFonts w:ascii="Times New Roman" w:hAnsi="Times New Roman" w:cs="Times New Roman"/>
          <w:noProof/>
          <w:sz w:val="24"/>
          <w:szCs w:val="24"/>
          <w:lang w:eastAsia="ko-KR" w:bidi="ar-SA"/>
        </w:rPr>
        <w:t xml:space="preserve">.  Public transfers by age, Thailand, selected years, </w:t>
      </w:r>
      <w:r w:rsidR="00D42B56">
        <w:rPr>
          <w:rFonts w:ascii="Times New Roman" w:hAnsi="Times New Roman" w:cs="Times New Roman"/>
          <w:noProof/>
          <w:sz w:val="24"/>
          <w:szCs w:val="24"/>
          <w:lang w:eastAsia="ko-KR" w:bidi="ar-SA"/>
        </w:rPr>
        <w:t>social welfare</w:t>
      </w:r>
      <w:r w:rsidRPr="00135F1C">
        <w:rPr>
          <w:rFonts w:ascii="Times New Roman" w:hAnsi="Times New Roman" w:cs="Times New Roman"/>
          <w:noProof/>
          <w:sz w:val="24"/>
          <w:szCs w:val="24"/>
          <w:lang w:eastAsia="ko-KR" w:bidi="ar-SA"/>
        </w:rPr>
        <w:t xml:space="preserve"> scenario.  Constraints are imposed to insure that public transfer inflows do not exceed 35 percent and public debt does not exceed 90 percent of GDP.  </w:t>
      </w:r>
    </w:p>
    <w:p w14:paraId="146FD7A3" w14:textId="77777777" w:rsidR="00D42B56" w:rsidRDefault="00D42B56" w:rsidP="00135F1C">
      <w:pPr>
        <w:spacing w:before="120" w:after="0" w:line="360" w:lineRule="auto"/>
        <w:jc w:val="thaiDistribute"/>
        <w:rPr>
          <w:rFonts w:ascii="Times New Roman" w:hAnsi="Times New Roman" w:cs="Times New Roman"/>
          <w:noProof/>
          <w:sz w:val="24"/>
          <w:szCs w:val="24"/>
          <w:lang w:eastAsia="ko-KR" w:bidi="ar-SA"/>
        </w:rPr>
      </w:pPr>
    </w:p>
    <w:p w14:paraId="21B05279" w14:textId="77777777" w:rsidR="00D42B56" w:rsidRDefault="00D42B56" w:rsidP="00135F1C">
      <w:pPr>
        <w:spacing w:before="120" w:after="0" w:line="360" w:lineRule="auto"/>
        <w:jc w:val="thaiDistribute"/>
        <w:rPr>
          <w:rFonts w:ascii="Times New Roman" w:hAnsi="Times New Roman" w:cs="Times New Roman"/>
          <w:noProof/>
          <w:sz w:val="24"/>
          <w:szCs w:val="24"/>
          <w:lang w:eastAsia="ko-KR" w:bidi="ar-SA"/>
        </w:rPr>
      </w:pPr>
    </w:p>
    <w:p w14:paraId="04589FA9" w14:textId="77777777" w:rsidR="00D42B56" w:rsidRDefault="00D42B56" w:rsidP="00135F1C">
      <w:pPr>
        <w:spacing w:before="120" w:after="0" w:line="360" w:lineRule="auto"/>
        <w:jc w:val="thaiDistribute"/>
        <w:rPr>
          <w:rFonts w:ascii="Times New Roman" w:hAnsi="Times New Roman" w:cs="Times New Roman"/>
          <w:noProof/>
          <w:sz w:val="24"/>
          <w:szCs w:val="24"/>
          <w:lang w:eastAsia="ko-KR" w:bidi="ar-SA"/>
        </w:rPr>
      </w:pPr>
    </w:p>
    <w:p w14:paraId="3BB924CB" w14:textId="76ABC1DC" w:rsidR="00BB697C" w:rsidRPr="00135F1C" w:rsidRDefault="005A526C" w:rsidP="00135F1C">
      <w:pPr>
        <w:spacing w:before="120" w:after="0" w:line="360" w:lineRule="auto"/>
        <w:jc w:val="thaiDistribute"/>
        <w:rPr>
          <w:rFonts w:ascii="Times New Roman" w:hAnsi="Times New Roman" w:cs="Times New Roman"/>
          <w:sz w:val="24"/>
          <w:szCs w:val="24"/>
          <w:u w:val="single"/>
          <w:lang w:eastAsia="ko-KR"/>
        </w:rPr>
      </w:pPr>
      <w:r w:rsidRPr="00135F1C">
        <w:rPr>
          <w:rFonts w:ascii="Times New Roman" w:hAnsi="Times New Roman" w:cs="Times New Roman"/>
          <w:noProof/>
          <w:sz w:val="24"/>
          <w:szCs w:val="24"/>
          <w:lang w:bidi="ar-SA"/>
        </w:rPr>
        <w:drawing>
          <wp:inline distT="0" distB="0" distL="0" distR="0" wp14:anchorId="182591E3" wp14:editId="2E098559">
            <wp:extent cx="5943600" cy="6350924"/>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6350924"/>
                    </a:xfrm>
                    <a:prstGeom prst="rect">
                      <a:avLst/>
                    </a:prstGeom>
                    <a:noFill/>
                    <a:ln>
                      <a:noFill/>
                    </a:ln>
                  </pic:spPr>
                </pic:pic>
              </a:graphicData>
            </a:graphic>
          </wp:inline>
        </w:drawing>
      </w:r>
    </w:p>
    <w:p w14:paraId="42897521" w14:textId="2AABCE1D" w:rsidR="00D42B56" w:rsidRDefault="00D42B56" w:rsidP="00135F1C">
      <w:pPr>
        <w:spacing w:before="120" w:after="0" w:line="360" w:lineRule="auto"/>
        <w:jc w:val="thaiDistribute"/>
        <w:rPr>
          <w:rFonts w:ascii="Times New Roman" w:hAnsi="Times New Roman" w:cs="Times New Roman"/>
          <w:sz w:val="24"/>
          <w:szCs w:val="24"/>
          <w:lang w:eastAsia="ko-KR"/>
        </w:rPr>
      </w:pPr>
      <w:r w:rsidRPr="00D42B56">
        <w:rPr>
          <w:rFonts w:ascii="Times New Roman" w:hAnsi="Times New Roman" w:cs="Times New Roman"/>
          <w:sz w:val="24"/>
          <w:szCs w:val="24"/>
          <w:lang w:eastAsia="ko-KR"/>
        </w:rPr>
        <w:t>Fig</w:t>
      </w:r>
      <w:r>
        <w:rPr>
          <w:rFonts w:ascii="Times New Roman" w:hAnsi="Times New Roman" w:cs="Times New Roman"/>
          <w:sz w:val="24"/>
          <w:szCs w:val="24"/>
          <w:lang w:eastAsia="ko-KR"/>
        </w:rPr>
        <w:t>ure 15</w:t>
      </w:r>
      <w:r w:rsidRPr="00D42B56">
        <w:rPr>
          <w:rFonts w:ascii="Times New Roman" w:hAnsi="Times New Roman" w:cs="Times New Roman"/>
          <w:sz w:val="24"/>
          <w:szCs w:val="24"/>
          <w:lang w:eastAsia="ko-KR"/>
        </w:rPr>
        <w:t xml:space="preserve">.  Normalized consumption by age, Thailand, </w:t>
      </w:r>
      <w:r>
        <w:rPr>
          <w:rFonts w:ascii="Times New Roman" w:hAnsi="Times New Roman" w:cs="Times New Roman"/>
          <w:sz w:val="24"/>
          <w:szCs w:val="24"/>
          <w:lang w:eastAsia="ko-KR"/>
        </w:rPr>
        <w:t xml:space="preserve">social welfare </w:t>
      </w:r>
      <w:r w:rsidRPr="00D42B56">
        <w:rPr>
          <w:rFonts w:ascii="Times New Roman" w:hAnsi="Times New Roman" w:cs="Times New Roman"/>
          <w:sz w:val="24"/>
          <w:szCs w:val="24"/>
          <w:lang w:eastAsia="ko-KR"/>
        </w:rPr>
        <w:t>scenario</w:t>
      </w:r>
    </w:p>
    <w:p w14:paraId="2E5F4C3B" w14:textId="77777777" w:rsidR="00D42B56" w:rsidRDefault="00D42B56" w:rsidP="00135F1C">
      <w:pPr>
        <w:spacing w:before="120" w:after="0" w:line="360" w:lineRule="auto"/>
        <w:ind w:firstLine="720"/>
        <w:jc w:val="thaiDistribute"/>
        <w:rPr>
          <w:rFonts w:ascii="Times New Roman" w:hAnsi="Times New Roman" w:cs="Times New Roman"/>
          <w:sz w:val="24"/>
          <w:szCs w:val="24"/>
          <w:lang w:eastAsia="ko-KR"/>
        </w:rPr>
      </w:pPr>
    </w:p>
    <w:p w14:paraId="18FC33BA" w14:textId="1824DDC0" w:rsidR="00D42B56" w:rsidRDefault="00D42B56" w:rsidP="00135F1C">
      <w:pPr>
        <w:spacing w:before="120" w:after="0" w:line="360" w:lineRule="auto"/>
        <w:jc w:val="thaiDistribute"/>
        <w:rPr>
          <w:rFonts w:ascii="Times New Roman" w:hAnsi="Times New Roman" w:cs="Times New Roman"/>
          <w:sz w:val="24"/>
          <w:szCs w:val="24"/>
          <w:lang w:eastAsia="ko-KR"/>
        </w:rPr>
      </w:pPr>
      <w:r w:rsidRPr="00D42B56">
        <w:rPr>
          <w:rFonts w:ascii="Times New Roman" w:hAnsi="Times New Roman" w:cs="Times New Roman"/>
          <w:sz w:val="24"/>
          <w:szCs w:val="24"/>
          <w:lang w:eastAsia="ko-KR"/>
        </w:rPr>
        <w:t>Figure 1</w:t>
      </w:r>
      <w:r>
        <w:rPr>
          <w:rFonts w:ascii="Times New Roman" w:hAnsi="Times New Roman" w:cs="Times New Roman"/>
          <w:sz w:val="24"/>
          <w:szCs w:val="24"/>
          <w:lang w:eastAsia="ko-KR"/>
        </w:rPr>
        <w:t>6</w:t>
      </w:r>
      <w:r w:rsidRPr="00D42B56">
        <w:rPr>
          <w:rFonts w:ascii="Times New Roman" w:hAnsi="Times New Roman" w:cs="Times New Roman"/>
          <w:sz w:val="24"/>
          <w:szCs w:val="24"/>
          <w:lang w:eastAsia="ko-KR"/>
        </w:rPr>
        <w:t xml:space="preserve"> shows the results for the public transfer inflows as a share of GDP for all different scenarios. The size of the Thai government is about 17 percent of GDP in 2011. The government size constraints binds in 2050 in case of social welfare transformation assumption. Without constraints, the government size reaches 44 percent and 27 percent in 2060 in case of social welfare transformation and capital transformation, respectively.</w:t>
      </w:r>
    </w:p>
    <w:p w14:paraId="1E591434" w14:textId="73B4EE69" w:rsidR="00D42B56" w:rsidRDefault="009F6444" w:rsidP="00135F1C">
      <w:pPr>
        <w:spacing w:before="120" w:after="0" w:line="360" w:lineRule="auto"/>
        <w:ind w:firstLine="720"/>
        <w:jc w:val="thaiDistribute"/>
        <w:rPr>
          <w:rFonts w:ascii="Times New Roman" w:hAnsi="Times New Roman" w:cs="Times New Roman"/>
          <w:sz w:val="24"/>
          <w:szCs w:val="24"/>
          <w:lang w:eastAsia="ko-KR"/>
        </w:rPr>
      </w:pPr>
      <w:r>
        <w:rPr>
          <w:noProof/>
          <w:lang w:bidi="ar-SA"/>
        </w:rPr>
        <w:drawing>
          <wp:inline distT="0" distB="0" distL="0" distR="0" wp14:anchorId="7F2B2E39" wp14:editId="3699391E">
            <wp:extent cx="4572000" cy="2743200"/>
            <wp:effectExtent l="0" t="0" r="0" b="0"/>
            <wp:docPr id="176" name="Chart 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1A4D943" w14:textId="4A1195EF" w:rsidR="00D61221" w:rsidRDefault="00D61221" w:rsidP="00135F1C">
      <w:pPr>
        <w:spacing w:before="120" w:after="0" w:line="360" w:lineRule="auto"/>
        <w:jc w:val="thaiDistribute"/>
        <w:rPr>
          <w:noProof/>
          <w:lang w:eastAsia="ko-KR" w:bidi="ar-SA"/>
        </w:rPr>
      </w:pPr>
      <w:r>
        <w:rPr>
          <w:noProof/>
          <w:lang w:bidi="ar-SA"/>
        </w:rPr>
        <w:drawing>
          <wp:inline distT="0" distB="0" distL="0" distR="0" wp14:anchorId="3DDD557F" wp14:editId="7CEDF979">
            <wp:extent cx="2962275" cy="1838325"/>
            <wp:effectExtent l="0" t="0" r="9525" b="9525"/>
            <wp:docPr id="174" name="Chart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D61221">
        <w:rPr>
          <w:noProof/>
          <w:lang w:eastAsia="ko-KR" w:bidi="ar-SA"/>
        </w:rPr>
        <w:t xml:space="preserve"> </w:t>
      </w:r>
      <w:r>
        <w:rPr>
          <w:noProof/>
          <w:lang w:bidi="ar-SA"/>
        </w:rPr>
        <w:drawing>
          <wp:inline distT="0" distB="0" distL="0" distR="0" wp14:anchorId="46702415" wp14:editId="508888B3">
            <wp:extent cx="2886075" cy="1876425"/>
            <wp:effectExtent l="0" t="0" r="9525" b="9525"/>
            <wp:docPr id="172" name="Chart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E23A050" w14:textId="36E9CE96" w:rsidR="00725C3C" w:rsidRDefault="00D61221" w:rsidP="00135F1C">
      <w:pPr>
        <w:spacing w:before="120" w:after="0" w:line="360" w:lineRule="auto"/>
        <w:jc w:val="thaiDistribute"/>
        <w:rPr>
          <w:rFonts w:ascii="Times New Roman" w:hAnsi="Times New Roman" w:cs="Times New Roman"/>
          <w:sz w:val="24"/>
          <w:szCs w:val="24"/>
          <w:lang w:eastAsia="ko-KR"/>
        </w:rPr>
      </w:pPr>
      <w:r>
        <w:rPr>
          <w:noProof/>
          <w:lang w:bidi="ar-SA"/>
        </w:rPr>
        <w:drawing>
          <wp:inline distT="0" distB="0" distL="0" distR="0" wp14:anchorId="498F4B9E" wp14:editId="0D54AEAD">
            <wp:extent cx="2962275" cy="1638300"/>
            <wp:effectExtent l="0" t="0" r="9525" b="0"/>
            <wp:docPr id="171" name="Chart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855101">
        <w:rPr>
          <w:rFonts w:ascii="Times New Roman" w:hAnsi="Times New Roman" w:cs="Times New Roman"/>
          <w:sz w:val="24"/>
          <w:szCs w:val="24"/>
          <w:lang w:eastAsia="ko-KR"/>
        </w:rPr>
        <w:t xml:space="preserve">  </w:t>
      </w:r>
      <w:r w:rsidR="00855101">
        <w:rPr>
          <w:noProof/>
          <w:lang w:bidi="ar-SA"/>
        </w:rPr>
        <w:drawing>
          <wp:inline distT="0" distB="0" distL="0" distR="0" wp14:anchorId="0925BF14" wp14:editId="649B1A31">
            <wp:extent cx="2781300" cy="1581150"/>
            <wp:effectExtent l="0" t="0" r="0" b="0"/>
            <wp:docPr id="185" name="Chart 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091D5B5" w14:textId="1FB1D0B0" w:rsidR="00A178C7" w:rsidRDefault="00A178C7" w:rsidP="00135F1C">
      <w:pPr>
        <w:spacing w:before="120" w:after="0" w:line="360" w:lineRule="auto"/>
        <w:jc w:val="thaiDistribute"/>
        <w:rPr>
          <w:rFonts w:ascii="Times New Roman" w:hAnsi="Times New Roman" w:cs="Times New Roman"/>
          <w:sz w:val="24"/>
          <w:szCs w:val="24"/>
          <w:lang w:eastAsia="ko-KR"/>
        </w:rPr>
      </w:pPr>
      <w:r w:rsidRPr="00A178C7">
        <w:rPr>
          <w:rFonts w:ascii="Times New Roman" w:hAnsi="Times New Roman" w:cs="Times New Roman"/>
          <w:sz w:val="24"/>
          <w:szCs w:val="24"/>
          <w:lang w:eastAsia="ko-KR"/>
        </w:rPr>
        <w:t>Figure 16.  Government transfers as a share of GDP. Thailand, all scenarios.</w:t>
      </w:r>
    </w:p>
    <w:p w14:paraId="51ADE312" w14:textId="7211B38F" w:rsidR="008C7402" w:rsidRDefault="008C7402" w:rsidP="00135F1C">
      <w:pPr>
        <w:spacing w:before="120" w:after="0" w:line="360" w:lineRule="auto"/>
        <w:ind w:firstLine="720"/>
        <w:jc w:val="thaiDistribute"/>
        <w:rPr>
          <w:rFonts w:ascii="Times New Roman" w:hAnsi="Times New Roman" w:cs="Times New Roman"/>
          <w:sz w:val="24"/>
          <w:szCs w:val="24"/>
          <w:lang w:eastAsia="ko-KR"/>
        </w:rPr>
      </w:pPr>
      <w:r>
        <w:rPr>
          <w:rFonts w:ascii="Times New Roman" w:hAnsi="Times New Roman" w:cs="Times New Roman"/>
          <w:sz w:val="24"/>
          <w:szCs w:val="24"/>
          <w:lang w:eastAsia="ko-KR"/>
        </w:rPr>
        <w:t>Components for public asset based reallocations are presented in Figure 17</w:t>
      </w:r>
      <w:r w:rsidR="00A178C7" w:rsidRPr="00A178C7">
        <w:rPr>
          <w:rFonts w:ascii="Times New Roman" w:hAnsi="Times New Roman" w:cs="Times New Roman"/>
          <w:sz w:val="24"/>
          <w:szCs w:val="24"/>
          <w:lang w:eastAsia="ko-KR"/>
        </w:rPr>
        <w:t>.</w:t>
      </w:r>
      <w:r>
        <w:rPr>
          <w:rFonts w:ascii="Times New Roman" w:hAnsi="Times New Roman" w:cs="Times New Roman"/>
          <w:sz w:val="24"/>
          <w:szCs w:val="24"/>
          <w:lang w:eastAsia="ko-KR"/>
        </w:rPr>
        <w:t xml:space="preserve"> All components are expressed </w:t>
      </w:r>
      <w:r w:rsidRPr="008C7402">
        <w:rPr>
          <w:rFonts w:ascii="Times New Roman" w:hAnsi="Times New Roman" w:cs="Times New Roman"/>
          <w:sz w:val="24"/>
          <w:szCs w:val="24"/>
          <w:lang w:eastAsia="ko-KR"/>
        </w:rPr>
        <w:t>as a share of GDP for all different scenarios.</w:t>
      </w:r>
      <w:r>
        <w:rPr>
          <w:rFonts w:ascii="Times New Roman" w:hAnsi="Times New Roman" w:cs="Times New Roman"/>
          <w:sz w:val="24"/>
          <w:szCs w:val="24"/>
          <w:lang w:eastAsia="ko-KR"/>
        </w:rPr>
        <w:t xml:space="preserve"> The </w:t>
      </w:r>
      <w:r w:rsidR="00DD32D0" w:rsidRPr="00DD32D0">
        <w:rPr>
          <w:rFonts w:ascii="Times New Roman" w:hAnsi="Times New Roman" w:cs="Times New Roman"/>
          <w:sz w:val="24"/>
          <w:szCs w:val="24"/>
          <w:lang w:eastAsia="ko-KR"/>
        </w:rPr>
        <w:t xml:space="preserve">impact on public finances </w:t>
      </w:r>
      <w:r w:rsidR="00DD32D0">
        <w:rPr>
          <w:rFonts w:ascii="Times New Roman" w:hAnsi="Times New Roman" w:cs="Times New Roman"/>
          <w:sz w:val="24"/>
          <w:szCs w:val="24"/>
          <w:lang w:eastAsia="ko-KR"/>
        </w:rPr>
        <w:t xml:space="preserve">under the social welfare transformation </w:t>
      </w:r>
      <w:r w:rsidR="00DD32D0" w:rsidRPr="00DD32D0">
        <w:rPr>
          <w:rFonts w:ascii="Times New Roman" w:hAnsi="Times New Roman" w:cs="Times New Roman"/>
          <w:sz w:val="24"/>
          <w:szCs w:val="24"/>
          <w:lang w:eastAsia="ko-KR"/>
        </w:rPr>
        <w:t xml:space="preserve">become </w:t>
      </w:r>
      <w:r w:rsidR="00DD32D0">
        <w:rPr>
          <w:rFonts w:ascii="Times New Roman" w:hAnsi="Times New Roman" w:cs="Times New Roman"/>
          <w:sz w:val="24"/>
          <w:szCs w:val="24"/>
          <w:lang w:eastAsia="ko-KR"/>
        </w:rPr>
        <w:t xml:space="preserve">quite </w:t>
      </w:r>
      <w:r w:rsidR="00DD32D0" w:rsidRPr="00DD32D0">
        <w:rPr>
          <w:rFonts w:ascii="Times New Roman" w:hAnsi="Times New Roman" w:cs="Times New Roman"/>
          <w:sz w:val="24"/>
          <w:szCs w:val="24"/>
          <w:lang w:eastAsia="ko-KR"/>
        </w:rPr>
        <w:t>noticeable in 20</w:t>
      </w:r>
      <w:r w:rsidR="00DD32D0">
        <w:rPr>
          <w:rFonts w:ascii="Times New Roman" w:hAnsi="Times New Roman" w:cs="Times New Roman"/>
          <w:sz w:val="24"/>
          <w:szCs w:val="24"/>
          <w:lang w:eastAsia="ko-KR"/>
        </w:rPr>
        <w:t>25</w:t>
      </w:r>
      <w:r w:rsidR="00DD32D0" w:rsidRPr="00DD32D0">
        <w:rPr>
          <w:rFonts w:ascii="Times New Roman" w:hAnsi="Times New Roman" w:cs="Times New Roman"/>
          <w:sz w:val="24"/>
          <w:szCs w:val="24"/>
          <w:lang w:eastAsia="ko-KR"/>
        </w:rPr>
        <w:t xml:space="preserve"> when public saving begins to decline and public assets grow more slowly</w:t>
      </w:r>
      <w:r w:rsidR="00DD32D0">
        <w:rPr>
          <w:rFonts w:ascii="Times New Roman" w:hAnsi="Times New Roman" w:cs="Times New Roman"/>
          <w:sz w:val="24"/>
          <w:szCs w:val="24"/>
          <w:lang w:eastAsia="ko-KR"/>
        </w:rPr>
        <w:t xml:space="preserve">. As the government size binds in 2050, the public saving starts to rise </w:t>
      </w:r>
      <w:r w:rsidR="00C13E72">
        <w:rPr>
          <w:rFonts w:ascii="Times New Roman" w:hAnsi="Times New Roman" w:cs="Times New Roman"/>
          <w:sz w:val="24"/>
          <w:szCs w:val="24"/>
          <w:lang w:eastAsia="ko-KR"/>
        </w:rPr>
        <w:t xml:space="preserve">again </w:t>
      </w:r>
      <w:r w:rsidR="00DD32D0">
        <w:rPr>
          <w:rFonts w:ascii="Times New Roman" w:hAnsi="Times New Roman" w:cs="Times New Roman"/>
          <w:sz w:val="24"/>
          <w:szCs w:val="24"/>
          <w:lang w:eastAsia="ko-KR"/>
        </w:rPr>
        <w:t xml:space="preserve">slowly, and hence the </w:t>
      </w:r>
      <w:r w:rsidR="00C13E72">
        <w:rPr>
          <w:rFonts w:ascii="Times New Roman" w:hAnsi="Times New Roman" w:cs="Times New Roman"/>
          <w:sz w:val="24"/>
          <w:szCs w:val="24"/>
          <w:lang w:eastAsia="ko-KR"/>
        </w:rPr>
        <w:t xml:space="preserve">public asset based reallocation starts to decrease. </w:t>
      </w:r>
      <w:r>
        <w:rPr>
          <w:rFonts w:ascii="Times New Roman" w:hAnsi="Times New Roman" w:cs="Times New Roman"/>
          <w:sz w:val="24"/>
          <w:szCs w:val="24"/>
          <w:lang w:eastAsia="ko-KR"/>
        </w:rPr>
        <w:t>Due to the constraint, the public saving increases beginning 2050</w:t>
      </w:r>
      <w:r w:rsidR="00F54BD8">
        <w:rPr>
          <w:rFonts w:ascii="Times New Roman" w:hAnsi="Times New Roman" w:cs="Times New Roman"/>
          <w:sz w:val="24"/>
          <w:szCs w:val="24"/>
          <w:lang w:eastAsia="ko-KR"/>
        </w:rPr>
        <w:t>.</w:t>
      </w:r>
      <w:r>
        <w:rPr>
          <w:rFonts w:ascii="Times New Roman" w:hAnsi="Times New Roman" w:cs="Times New Roman"/>
          <w:sz w:val="24"/>
          <w:szCs w:val="24"/>
          <w:lang w:eastAsia="ko-KR"/>
        </w:rPr>
        <w:t xml:space="preserve"> </w:t>
      </w:r>
    </w:p>
    <w:p w14:paraId="74F32B59" w14:textId="30F016E5" w:rsidR="004E6992" w:rsidRDefault="004E6992" w:rsidP="004E6992">
      <w:pPr>
        <w:spacing w:before="120" w:after="0" w:line="360" w:lineRule="auto"/>
        <w:jc w:val="thaiDistribute"/>
        <w:rPr>
          <w:rFonts w:ascii="Times New Roman" w:hAnsi="Times New Roman" w:cs="Times New Roman"/>
          <w:sz w:val="24"/>
          <w:szCs w:val="24"/>
          <w:lang w:eastAsia="ko-KR"/>
        </w:rPr>
      </w:pPr>
      <w:r>
        <w:rPr>
          <w:noProof/>
          <w:lang w:bidi="ar-SA"/>
        </w:rPr>
        <w:drawing>
          <wp:inline distT="0" distB="0" distL="0" distR="0" wp14:anchorId="174D8C7C" wp14:editId="5C4ACDB7">
            <wp:extent cx="2819400" cy="1885950"/>
            <wp:effectExtent l="0" t="0" r="0" b="0"/>
            <wp:docPr id="186" name="Chart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A178C7">
        <w:rPr>
          <w:noProof/>
          <w:lang w:bidi="ar-SA"/>
        </w:rPr>
        <w:drawing>
          <wp:inline distT="0" distB="0" distL="0" distR="0" wp14:anchorId="7892D446" wp14:editId="79D55171">
            <wp:extent cx="2819400" cy="1876425"/>
            <wp:effectExtent l="0" t="0" r="0" b="9525"/>
            <wp:docPr id="187" name="Chart 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C198F65" w14:textId="6DAAEE78" w:rsidR="004E6992" w:rsidRDefault="004E6992" w:rsidP="004E6992">
      <w:pPr>
        <w:spacing w:before="120" w:after="0" w:line="360" w:lineRule="auto"/>
        <w:jc w:val="thaiDistribute"/>
        <w:rPr>
          <w:rFonts w:ascii="Times New Roman" w:hAnsi="Times New Roman" w:cs="Times New Roman"/>
          <w:sz w:val="24"/>
          <w:szCs w:val="24"/>
          <w:lang w:eastAsia="ko-KR"/>
        </w:rPr>
      </w:pPr>
      <w:r>
        <w:rPr>
          <w:noProof/>
          <w:lang w:bidi="ar-SA"/>
        </w:rPr>
        <w:drawing>
          <wp:inline distT="0" distB="0" distL="0" distR="0" wp14:anchorId="75614786" wp14:editId="6AFE1D5C">
            <wp:extent cx="2819400" cy="2152650"/>
            <wp:effectExtent l="0" t="0" r="0" b="0"/>
            <wp:docPr id="188" name="Chart 1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A178C7" w:rsidRPr="00A178C7">
        <w:rPr>
          <w:noProof/>
          <w:lang w:eastAsia="ko-KR" w:bidi="ar-SA"/>
        </w:rPr>
        <w:t xml:space="preserve"> </w:t>
      </w:r>
      <w:r w:rsidR="00A178C7">
        <w:rPr>
          <w:noProof/>
          <w:lang w:bidi="ar-SA"/>
        </w:rPr>
        <w:drawing>
          <wp:inline distT="0" distB="0" distL="0" distR="0" wp14:anchorId="752CB4D4" wp14:editId="0B0918FC">
            <wp:extent cx="2819400" cy="2143125"/>
            <wp:effectExtent l="0" t="0" r="0" b="9525"/>
            <wp:docPr id="194" name="Chart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AF36A9A" w14:textId="693BA86D" w:rsidR="004E6992" w:rsidRDefault="004E6992" w:rsidP="00135F1C">
      <w:pPr>
        <w:spacing w:before="120" w:after="0" w:line="360" w:lineRule="auto"/>
        <w:jc w:val="thaiDistribute"/>
        <w:rPr>
          <w:rFonts w:ascii="Times New Roman" w:hAnsi="Times New Roman" w:cs="Times New Roman"/>
          <w:sz w:val="24"/>
          <w:szCs w:val="24"/>
          <w:lang w:eastAsia="ko-KR"/>
        </w:rPr>
      </w:pPr>
      <w:r>
        <w:rPr>
          <w:rFonts w:ascii="Times New Roman" w:hAnsi="Times New Roman" w:cs="Times New Roman"/>
          <w:sz w:val="24"/>
          <w:szCs w:val="24"/>
          <w:lang w:eastAsia="ko-KR"/>
        </w:rPr>
        <w:t xml:space="preserve">Figure </w:t>
      </w:r>
      <w:r w:rsidR="00A178C7">
        <w:rPr>
          <w:rFonts w:ascii="Times New Roman" w:hAnsi="Times New Roman" w:cs="Times New Roman"/>
          <w:sz w:val="24"/>
          <w:szCs w:val="24"/>
          <w:lang w:eastAsia="ko-KR"/>
        </w:rPr>
        <w:t>17</w:t>
      </w:r>
      <w:r w:rsidRPr="00272352">
        <w:rPr>
          <w:rFonts w:ascii="Times New Roman" w:hAnsi="Times New Roman" w:cs="Times New Roman"/>
          <w:sz w:val="24"/>
          <w:szCs w:val="24"/>
          <w:lang w:eastAsia="ko-KR"/>
        </w:rPr>
        <w:t xml:space="preserve">. </w:t>
      </w:r>
      <w:r w:rsidR="00A178C7">
        <w:rPr>
          <w:rFonts w:ascii="Times New Roman" w:hAnsi="Times New Roman" w:cs="Times New Roman"/>
          <w:sz w:val="24"/>
          <w:szCs w:val="24"/>
          <w:lang w:eastAsia="ko-KR"/>
        </w:rPr>
        <w:t>P</w:t>
      </w:r>
      <w:r w:rsidRPr="00A63B19">
        <w:rPr>
          <w:rFonts w:ascii="Times New Roman" w:hAnsi="Times New Roman" w:cs="Times New Roman"/>
          <w:sz w:val="24"/>
          <w:szCs w:val="24"/>
          <w:lang w:eastAsia="ko-KR"/>
        </w:rPr>
        <w:t xml:space="preserve">ublic assets (AG), public asset-based reallocations (RAG), public asset income (YAG), and public saving (SG).  </w:t>
      </w:r>
    </w:p>
    <w:p w14:paraId="53AD8BF9" w14:textId="77777777" w:rsidR="004E6992" w:rsidRDefault="004E6992" w:rsidP="001848DA">
      <w:pPr>
        <w:spacing w:before="120" w:after="0" w:line="360" w:lineRule="auto"/>
        <w:jc w:val="thaiDistribute"/>
        <w:rPr>
          <w:rFonts w:ascii="Times New Roman" w:hAnsi="Times New Roman" w:cs="Times New Roman"/>
          <w:sz w:val="24"/>
          <w:szCs w:val="24"/>
          <w:lang w:eastAsia="ko-KR"/>
        </w:rPr>
      </w:pPr>
    </w:p>
    <w:p w14:paraId="6E60F174" w14:textId="2201B5D4" w:rsidR="007D6A73" w:rsidRPr="00E572F2" w:rsidRDefault="007D6A73" w:rsidP="00E572F2">
      <w:pPr>
        <w:pStyle w:val="ListParagraph"/>
        <w:numPr>
          <w:ilvl w:val="0"/>
          <w:numId w:val="8"/>
        </w:numPr>
        <w:spacing w:before="120" w:after="0" w:line="360" w:lineRule="auto"/>
        <w:jc w:val="thaiDistribute"/>
        <w:rPr>
          <w:rFonts w:ascii="Times New Roman" w:hAnsi="Times New Roman" w:cs="Times New Roman"/>
          <w:b/>
          <w:sz w:val="24"/>
          <w:szCs w:val="24"/>
        </w:rPr>
      </w:pPr>
      <w:r w:rsidRPr="00E572F2">
        <w:rPr>
          <w:rFonts w:ascii="Times New Roman" w:hAnsi="Times New Roman" w:cs="Times New Roman"/>
          <w:b/>
          <w:sz w:val="24"/>
          <w:szCs w:val="24"/>
        </w:rPr>
        <w:t>Conclu</w:t>
      </w:r>
      <w:r w:rsidR="006C7D83">
        <w:rPr>
          <w:rFonts w:ascii="Times New Roman" w:hAnsi="Times New Roman" w:cs="Times New Roman"/>
          <w:b/>
          <w:sz w:val="24"/>
          <w:szCs w:val="24"/>
        </w:rPr>
        <w:t>ding remarks</w:t>
      </w:r>
    </w:p>
    <w:p w14:paraId="181BE827" w14:textId="7B492708" w:rsidR="004B1873" w:rsidRDefault="004B1873" w:rsidP="00885ADB">
      <w:pPr>
        <w:spacing w:before="120" w:after="0" w:line="360" w:lineRule="auto"/>
        <w:jc w:val="thaiDistribute"/>
        <w:rPr>
          <w:rFonts w:ascii="Times New Roman" w:hAnsi="Times New Roman" w:cs="Times New Roman"/>
          <w:sz w:val="24"/>
          <w:szCs w:val="24"/>
        </w:rPr>
      </w:pPr>
      <w:r w:rsidRPr="004B1873">
        <w:rPr>
          <w:rFonts w:ascii="Times New Roman" w:hAnsi="Times New Roman" w:cs="Times New Roman"/>
          <w:sz w:val="24"/>
          <w:szCs w:val="24"/>
        </w:rPr>
        <w:t>Thailand has experienced very rapid changes in economy, population structure</w:t>
      </w:r>
      <w:r>
        <w:rPr>
          <w:rFonts w:ascii="Times New Roman" w:hAnsi="Times New Roman" w:cs="Times New Roman"/>
          <w:sz w:val="24"/>
          <w:szCs w:val="24"/>
        </w:rPr>
        <w:t xml:space="preserve">, and </w:t>
      </w:r>
      <w:r w:rsidRPr="004B1873">
        <w:rPr>
          <w:rFonts w:ascii="Times New Roman" w:hAnsi="Times New Roman" w:cs="Times New Roman"/>
          <w:sz w:val="24"/>
          <w:szCs w:val="24"/>
        </w:rPr>
        <w:t>public budget structure during the past three decades. As the country becomes richer, the government policy has been geared more toward social development.</w:t>
      </w:r>
      <w:r>
        <w:rPr>
          <w:rFonts w:ascii="Times New Roman" w:hAnsi="Times New Roman" w:cs="Times New Roman"/>
          <w:sz w:val="24"/>
          <w:szCs w:val="24"/>
        </w:rPr>
        <w:t xml:space="preserve"> </w:t>
      </w:r>
      <w:r w:rsidR="00F96F0C">
        <w:rPr>
          <w:rFonts w:ascii="Times New Roman" w:hAnsi="Times New Roman" w:cs="Times New Roman"/>
          <w:sz w:val="24"/>
          <w:szCs w:val="24"/>
        </w:rPr>
        <w:t>As the simulation results suggest, the government debt will rise very rapidly if this trend continues in the future.</w:t>
      </w:r>
    </w:p>
    <w:p w14:paraId="232B9BBB" w14:textId="49327BA0" w:rsidR="00F16CE1" w:rsidRDefault="004B1873" w:rsidP="004B1873">
      <w:pPr>
        <w:spacing w:before="120" w:after="0" w:line="360" w:lineRule="auto"/>
        <w:ind w:firstLine="720"/>
        <w:jc w:val="thaiDistribute"/>
        <w:rPr>
          <w:rFonts w:ascii="Times New Roman" w:hAnsi="Times New Roman" w:cs="Times New Roman"/>
          <w:sz w:val="24"/>
          <w:szCs w:val="24"/>
        </w:rPr>
      </w:pPr>
      <w:r>
        <w:rPr>
          <w:rFonts w:ascii="Times New Roman" w:hAnsi="Times New Roman" w:cs="Times New Roman"/>
          <w:sz w:val="24"/>
          <w:szCs w:val="24"/>
        </w:rPr>
        <w:t xml:space="preserve">It seems that the Thai government has focused on expanding the social development to their broad citizens. </w:t>
      </w:r>
      <w:r w:rsidRPr="004B1873">
        <w:rPr>
          <w:rFonts w:ascii="Times New Roman" w:hAnsi="Times New Roman" w:cs="Times New Roman"/>
          <w:sz w:val="24"/>
          <w:szCs w:val="24"/>
        </w:rPr>
        <w:t xml:space="preserve">So far, </w:t>
      </w:r>
      <w:r>
        <w:rPr>
          <w:rFonts w:ascii="Times New Roman" w:hAnsi="Times New Roman" w:cs="Times New Roman"/>
          <w:sz w:val="24"/>
          <w:szCs w:val="24"/>
        </w:rPr>
        <w:t>Thailand</w:t>
      </w:r>
      <w:r w:rsidRPr="004B1873">
        <w:rPr>
          <w:rFonts w:ascii="Times New Roman" w:hAnsi="Times New Roman" w:cs="Times New Roman"/>
          <w:sz w:val="24"/>
          <w:szCs w:val="24"/>
        </w:rPr>
        <w:t xml:space="preserve"> has had some advantage since the cost</w:t>
      </w:r>
      <w:r>
        <w:rPr>
          <w:rFonts w:ascii="Times New Roman" w:hAnsi="Times New Roman" w:cs="Times New Roman"/>
          <w:sz w:val="24"/>
          <w:szCs w:val="24"/>
        </w:rPr>
        <w:t xml:space="preserve"> per person</w:t>
      </w:r>
      <w:r w:rsidRPr="004B1873">
        <w:rPr>
          <w:rFonts w:ascii="Times New Roman" w:hAnsi="Times New Roman" w:cs="Times New Roman"/>
          <w:sz w:val="24"/>
          <w:szCs w:val="24"/>
        </w:rPr>
        <w:t xml:space="preserve"> has been kept low. </w:t>
      </w:r>
      <w:r>
        <w:rPr>
          <w:rFonts w:ascii="Times New Roman" w:hAnsi="Times New Roman" w:cs="Times New Roman"/>
          <w:sz w:val="24"/>
          <w:szCs w:val="24"/>
        </w:rPr>
        <w:t>Thus, even with rapid population aging, currently, the cost of social policy expansion does not appear to be large. However,</w:t>
      </w:r>
      <w:r w:rsidRPr="004B1873">
        <w:rPr>
          <w:rFonts w:ascii="Times New Roman" w:hAnsi="Times New Roman" w:cs="Times New Roman"/>
          <w:sz w:val="24"/>
          <w:szCs w:val="24"/>
        </w:rPr>
        <w:t xml:space="preserve"> healthcare for the elderly is a large and increasing cost that is often heavily subsidized by the public sector</w:t>
      </w:r>
      <w:r w:rsidR="00F96F0C">
        <w:rPr>
          <w:rFonts w:ascii="Times New Roman" w:hAnsi="Times New Roman" w:cs="Times New Roman"/>
          <w:sz w:val="24"/>
          <w:szCs w:val="24"/>
        </w:rPr>
        <w:t>, hence</w:t>
      </w:r>
      <w:r w:rsidRPr="004B1873">
        <w:rPr>
          <w:rFonts w:ascii="Times New Roman" w:hAnsi="Times New Roman" w:cs="Times New Roman"/>
          <w:sz w:val="24"/>
          <w:szCs w:val="24"/>
        </w:rPr>
        <w:t xml:space="preserve"> this advantage </w:t>
      </w:r>
      <w:r>
        <w:rPr>
          <w:rFonts w:ascii="Times New Roman" w:hAnsi="Times New Roman" w:cs="Times New Roman"/>
          <w:sz w:val="24"/>
          <w:szCs w:val="24"/>
        </w:rPr>
        <w:t xml:space="preserve">may </w:t>
      </w:r>
      <w:r w:rsidRPr="004B1873">
        <w:rPr>
          <w:rFonts w:ascii="Times New Roman" w:hAnsi="Times New Roman" w:cs="Times New Roman"/>
          <w:sz w:val="24"/>
          <w:szCs w:val="24"/>
        </w:rPr>
        <w:t xml:space="preserve">not be sustainable. People may live longer, but they </w:t>
      </w:r>
      <w:r>
        <w:rPr>
          <w:rFonts w:ascii="Times New Roman" w:hAnsi="Times New Roman" w:cs="Times New Roman"/>
          <w:sz w:val="24"/>
          <w:szCs w:val="24"/>
        </w:rPr>
        <w:t xml:space="preserve">may not </w:t>
      </w:r>
      <w:r w:rsidRPr="004B1873">
        <w:rPr>
          <w:rFonts w:ascii="Times New Roman" w:hAnsi="Times New Roman" w:cs="Times New Roman"/>
          <w:sz w:val="24"/>
          <w:szCs w:val="24"/>
        </w:rPr>
        <w:t xml:space="preserve">live healthier for the extended life. The huge long-term care cost observed in many developed countries might be inevitable. Thus, </w:t>
      </w:r>
      <w:r>
        <w:rPr>
          <w:rFonts w:ascii="Times New Roman" w:hAnsi="Times New Roman" w:cs="Times New Roman"/>
          <w:sz w:val="24"/>
          <w:szCs w:val="24"/>
        </w:rPr>
        <w:t xml:space="preserve">rapid </w:t>
      </w:r>
      <w:r w:rsidRPr="004B1873">
        <w:rPr>
          <w:rFonts w:ascii="Times New Roman" w:hAnsi="Times New Roman" w:cs="Times New Roman"/>
          <w:sz w:val="24"/>
          <w:szCs w:val="24"/>
        </w:rPr>
        <w:t xml:space="preserve">aging in </w:t>
      </w:r>
      <w:r>
        <w:rPr>
          <w:rFonts w:ascii="Times New Roman" w:hAnsi="Times New Roman" w:cs="Times New Roman"/>
          <w:sz w:val="24"/>
          <w:szCs w:val="24"/>
        </w:rPr>
        <w:t>Thailand</w:t>
      </w:r>
      <w:r w:rsidRPr="004B1873">
        <w:rPr>
          <w:rFonts w:ascii="Times New Roman" w:hAnsi="Times New Roman" w:cs="Times New Roman"/>
          <w:sz w:val="24"/>
          <w:szCs w:val="24"/>
        </w:rPr>
        <w:t xml:space="preserve"> </w:t>
      </w:r>
      <w:r>
        <w:rPr>
          <w:rFonts w:ascii="Times New Roman" w:hAnsi="Times New Roman" w:cs="Times New Roman"/>
          <w:sz w:val="24"/>
          <w:szCs w:val="24"/>
        </w:rPr>
        <w:t>can</w:t>
      </w:r>
      <w:r w:rsidRPr="004B1873">
        <w:rPr>
          <w:rFonts w:ascii="Times New Roman" w:hAnsi="Times New Roman" w:cs="Times New Roman"/>
          <w:sz w:val="24"/>
          <w:szCs w:val="24"/>
        </w:rPr>
        <w:t xml:space="preserve"> eventually lead to large implicit debts that are shared by taxpayers and the adult children of the elderly.</w:t>
      </w:r>
    </w:p>
    <w:p w14:paraId="51369FD1" w14:textId="6F9D0190" w:rsidR="00A178C7" w:rsidRDefault="00F96F0C" w:rsidP="00135F1C">
      <w:pPr>
        <w:spacing w:before="120" w:after="0" w:line="360" w:lineRule="auto"/>
        <w:ind w:firstLine="720"/>
        <w:jc w:val="thaiDistribute"/>
        <w:rPr>
          <w:rFonts w:ascii="Times New Roman" w:hAnsi="Times New Roman" w:cs="Times New Roman"/>
          <w:sz w:val="24"/>
          <w:szCs w:val="24"/>
        </w:rPr>
      </w:pPr>
      <w:r>
        <w:rPr>
          <w:rFonts w:ascii="Times New Roman" w:hAnsi="Times New Roman" w:cs="Times New Roman"/>
          <w:sz w:val="24"/>
          <w:szCs w:val="24"/>
        </w:rPr>
        <w:t>In particular</w:t>
      </w:r>
      <w:r w:rsidR="00C13E72">
        <w:rPr>
          <w:rFonts w:ascii="Times New Roman" w:hAnsi="Times New Roman" w:cs="Times New Roman"/>
          <w:sz w:val="24"/>
          <w:szCs w:val="24"/>
        </w:rPr>
        <w:t>, i</w:t>
      </w:r>
      <w:r w:rsidR="004B1873" w:rsidRPr="004B1873">
        <w:rPr>
          <w:rFonts w:ascii="Times New Roman" w:hAnsi="Times New Roman" w:cs="Times New Roman"/>
          <w:sz w:val="24"/>
          <w:szCs w:val="24"/>
        </w:rPr>
        <w:t xml:space="preserve">f labor income and familial transfers play a limited role in the future, </w:t>
      </w:r>
      <w:r w:rsidR="004B1873">
        <w:rPr>
          <w:rFonts w:ascii="Times New Roman" w:hAnsi="Times New Roman" w:cs="Times New Roman"/>
          <w:sz w:val="24"/>
          <w:szCs w:val="24"/>
        </w:rPr>
        <w:t>Thai</w:t>
      </w:r>
      <w:r w:rsidR="004B1873" w:rsidRPr="004B1873">
        <w:rPr>
          <w:rFonts w:ascii="Times New Roman" w:hAnsi="Times New Roman" w:cs="Times New Roman"/>
          <w:sz w:val="24"/>
          <w:szCs w:val="24"/>
        </w:rPr>
        <w:t xml:space="preserve"> will have to rely on accumulating assets or public transfers. Undoubtedly, in the future, there will a growing demand for more public transfers. Thus it will be critical for </w:t>
      </w:r>
      <w:r w:rsidR="004B1873">
        <w:rPr>
          <w:rFonts w:ascii="Times New Roman" w:hAnsi="Times New Roman" w:cs="Times New Roman"/>
          <w:sz w:val="24"/>
          <w:szCs w:val="24"/>
        </w:rPr>
        <w:t>Thai government</w:t>
      </w:r>
      <w:r w:rsidR="004B1873" w:rsidRPr="004B1873">
        <w:rPr>
          <w:rFonts w:ascii="Times New Roman" w:hAnsi="Times New Roman" w:cs="Times New Roman"/>
          <w:sz w:val="24"/>
          <w:szCs w:val="24"/>
        </w:rPr>
        <w:t xml:space="preserve"> to effectively and efficiently design public support over the lifecycle.</w:t>
      </w:r>
      <w:r w:rsidR="006C7D83" w:rsidRPr="006C7D83">
        <w:t xml:space="preserve"> </w:t>
      </w:r>
      <w:r w:rsidR="006C7D83" w:rsidRPr="006C7D83">
        <w:rPr>
          <w:rFonts w:ascii="Times New Roman" w:hAnsi="Times New Roman" w:cs="Times New Roman"/>
          <w:sz w:val="24"/>
          <w:szCs w:val="24"/>
        </w:rPr>
        <w:t>Population aging implies a pronounced increase of dependent elderly as compared with dependent young people and at the same time an aging and shrinking of the productive age group. Since public transfers cover most of the lifecycle deficit of the elderly, the sustainability of the current welfare state is in question. Pension reforms are called for that encourage higher participation rates of older workers</w:t>
      </w:r>
      <w:r w:rsidR="00C13E72">
        <w:rPr>
          <w:rFonts w:ascii="Times New Roman" w:hAnsi="Times New Roman" w:cs="Times New Roman"/>
          <w:sz w:val="24"/>
          <w:szCs w:val="24"/>
        </w:rPr>
        <w:t xml:space="preserve">. </w:t>
      </w:r>
      <w:r w:rsidR="00C13E72" w:rsidRPr="00C13E72">
        <w:rPr>
          <w:rFonts w:ascii="Times New Roman" w:hAnsi="Times New Roman" w:cs="Times New Roman"/>
          <w:sz w:val="24"/>
          <w:szCs w:val="24"/>
        </w:rPr>
        <w:t>The sheer speed of Thailand demographic transition adds a sense of urgency to policymakers’ tasks.</w:t>
      </w:r>
    </w:p>
    <w:p w14:paraId="54BD932F" w14:textId="16477C03" w:rsidR="00A178C7" w:rsidRDefault="00F96F0C" w:rsidP="00135F1C">
      <w:pPr>
        <w:spacing w:before="120" w:after="0" w:line="360" w:lineRule="auto"/>
        <w:ind w:firstLine="720"/>
        <w:jc w:val="thaiDistribute"/>
        <w:rPr>
          <w:rFonts w:ascii="Times New Roman" w:hAnsi="Times New Roman" w:cs="Times New Roman"/>
          <w:sz w:val="24"/>
          <w:szCs w:val="24"/>
        </w:rPr>
      </w:pPr>
      <w:r w:rsidRPr="00F96F0C">
        <w:rPr>
          <w:rFonts w:ascii="Times New Roman" w:hAnsi="Times New Roman" w:cs="Times New Roman"/>
          <w:sz w:val="24"/>
          <w:szCs w:val="24"/>
        </w:rPr>
        <w:t>One</w:t>
      </w:r>
      <w:r>
        <w:rPr>
          <w:rFonts w:ascii="Times New Roman" w:hAnsi="Times New Roman" w:cs="Times New Roman"/>
          <w:sz w:val="24"/>
          <w:szCs w:val="24"/>
        </w:rPr>
        <w:t xml:space="preserve"> alternative</w:t>
      </w:r>
      <w:r w:rsidRPr="00F96F0C">
        <w:rPr>
          <w:rFonts w:ascii="Times New Roman" w:hAnsi="Times New Roman" w:cs="Times New Roman"/>
          <w:sz w:val="24"/>
          <w:szCs w:val="24"/>
        </w:rPr>
        <w:t xml:space="preserve"> strategy for supporting the elderly and achieving strong, sustained growth is to promote investment in physical capital. The other strategy is to promote investment in human capital to make workers more productive</w:t>
      </w:r>
      <w:r>
        <w:rPr>
          <w:rFonts w:ascii="Times New Roman" w:hAnsi="Times New Roman" w:cs="Times New Roman"/>
          <w:sz w:val="24"/>
          <w:szCs w:val="24"/>
        </w:rPr>
        <w:t xml:space="preserve">, which is </w:t>
      </w:r>
      <w:r w:rsidRPr="00F96F0C">
        <w:rPr>
          <w:rFonts w:ascii="Times New Roman" w:hAnsi="Times New Roman" w:cs="Times New Roman"/>
          <w:sz w:val="24"/>
          <w:szCs w:val="24"/>
        </w:rPr>
        <w:t>a strategy very much in line with Thai</w:t>
      </w:r>
      <w:r>
        <w:rPr>
          <w:rFonts w:ascii="Times New Roman" w:hAnsi="Times New Roman" w:cs="Times New Roman"/>
          <w:sz w:val="24"/>
          <w:szCs w:val="24"/>
        </w:rPr>
        <w:t xml:space="preserve"> government’s</w:t>
      </w:r>
      <w:r w:rsidRPr="00F96F0C">
        <w:rPr>
          <w:rFonts w:ascii="Times New Roman" w:hAnsi="Times New Roman" w:cs="Times New Roman"/>
          <w:sz w:val="24"/>
          <w:szCs w:val="24"/>
        </w:rPr>
        <w:t xml:space="preserve"> </w:t>
      </w:r>
      <w:r>
        <w:rPr>
          <w:rFonts w:ascii="Times New Roman" w:hAnsi="Times New Roman" w:cs="Times New Roman"/>
          <w:sz w:val="24"/>
          <w:szCs w:val="24"/>
        </w:rPr>
        <w:t xml:space="preserve">high </w:t>
      </w:r>
      <w:r w:rsidRPr="00F96F0C">
        <w:rPr>
          <w:rFonts w:ascii="Times New Roman" w:hAnsi="Times New Roman" w:cs="Times New Roman"/>
          <w:sz w:val="24"/>
          <w:szCs w:val="24"/>
        </w:rPr>
        <w:t xml:space="preserve">spending on </w:t>
      </w:r>
      <w:r>
        <w:rPr>
          <w:rFonts w:ascii="Times New Roman" w:hAnsi="Times New Roman" w:cs="Times New Roman"/>
          <w:sz w:val="24"/>
          <w:szCs w:val="24"/>
        </w:rPr>
        <w:t>education and health.</w:t>
      </w:r>
      <w:r w:rsidR="00C13E72">
        <w:rPr>
          <w:rFonts w:ascii="Times New Roman" w:hAnsi="Times New Roman" w:cs="Times New Roman"/>
          <w:sz w:val="24"/>
          <w:szCs w:val="24"/>
        </w:rPr>
        <w:t xml:space="preserve"> H</w:t>
      </w:r>
      <w:r w:rsidR="00D0110C" w:rsidRPr="00D0110C">
        <w:rPr>
          <w:rFonts w:ascii="Times New Roman" w:hAnsi="Times New Roman" w:cs="Times New Roman"/>
          <w:sz w:val="24"/>
          <w:szCs w:val="24"/>
        </w:rPr>
        <w:t xml:space="preserve">uman capital investments </w:t>
      </w:r>
      <w:r w:rsidR="00C13E72">
        <w:rPr>
          <w:rFonts w:ascii="Times New Roman" w:hAnsi="Times New Roman" w:cs="Times New Roman"/>
          <w:sz w:val="24"/>
          <w:szCs w:val="24"/>
        </w:rPr>
        <w:t xml:space="preserve">again </w:t>
      </w:r>
      <w:r w:rsidR="00D0110C" w:rsidRPr="00D0110C">
        <w:rPr>
          <w:rFonts w:ascii="Times New Roman" w:hAnsi="Times New Roman" w:cs="Times New Roman"/>
          <w:sz w:val="24"/>
          <w:szCs w:val="24"/>
        </w:rPr>
        <w:t>require taxes and public transfers.</w:t>
      </w:r>
      <w:r w:rsidR="00C13E72">
        <w:rPr>
          <w:rFonts w:ascii="Times New Roman" w:hAnsi="Times New Roman" w:cs="Times New Roman"/>
          <w:sz w:val="24"/>
          <w:szCs w:val="24"/>
        </w:rPr>
        <w:t xml:space="preserve"> However, u</w:t>
      </w:r>
      <w:r w:rsidR="00C13E72" w:rsidRPr="00C13E72">
        <w:rPr>
          <w:rFonts w:ascii="Times New Roman" w:hAnsi="Times New Roman" w:cs="Times New Roman"/>
          <w:sz w:val="24"/>
          <w:szCs w:val="24"/>
        </w:rPr>
        <w:t xml:space="preserve">nlike the old-age support, </w:t>
      </w:r>
      <w:r w:rsidR="00C13E72">
        <w:rPr>
          <w:rFonts w:ascii="Times New Roman" w:hAnsi="Times New Roman" w:cs="Times New Roman"/>
          <w:sz w:val="24"/>
          <w:szCs w:val="24"/>
        </w:rPr>
        <w:t xml:space="preserve">public investment in child </w:t>
      </w:r>
      <w:r>
        <w:rPr>
          <w:rFonts w:ascii="Times New Roman" w:hAnsi="Times New Roman" w:cs="Times New Roman"/>
          <w:sz w:val="24"/>
          <w:szCs w:val="24"/>
        </w:rPr>
        <w:t>might be a more attractive policy option for Thai government to promote growth and maintain fiscal sustainability in the future.</w:t>
      </w:r>
      <w:r w:rsidR="00A178C7">
        <w:rPr>
          <w:rFonts w:ascii="Times New Roman" w:hAnsi="Times New Roman" w:cs="Times New Roman"/>
          <w:sz w:val="24"/>
          <w:szCs w:val="24"/>
        </w:rPr>
        <w:br w:type="page"/>
      </w:r>
    </w:p>
    <w:p w14:paraId="1ACCB60A" w14:textId="77777777" w:rsidR="00C338EE" w:rsidRPr="00270A75" w:rsidRDefault="00C338EE" w:rsidP="00C338EE">
      <w:pPr>
        <w:spacing w:before="120" w:after="0" w:line="360" w:lineRule="auto"/>
        <w:jc w:val="thaiDistribute"/>
        <w:rPr>
          <w:rFonts w:ascii="Times New Roman" w:hAnsi="Times New Roman" w:cs="Times New Roman"/>
          <w:b/>
          <w:bCs/>
          <w:sz w:val="24"/>
          <w:szCs w:val="24"/>
        </w:rPr>
      </w:pPr>
      <w:r w:rsidRPr="00270A75">
        <w:rPr>
          <w:rFonts w:ascii="Times New Roman" w:hAnsi="Times New Roman" w:cs="Times New Roman"/>
          <w:b/>
          <w:bCs/>
          <w:sz w:val="24"/>
          <w:szCs w:val="24"/>
        </w:rPr>
        <w:t>References</w:t>
      </w:r>
    </w:p>
    <w:p w14:paraId="3A706531" w14:textId="77777777" w:rsidR="00C338EE" w:rsidRPr="00270A75" w:rsidRDefault="001027CA" w:rsidP="00C338EE">
      <w:pPr>
        <w:spacing w:before="240" w:after="120" w:line="240" w:lineRule="auto"/>
        <w:ind w:left="357" w:hanging="357"/>
        <w:rPr>
          <w:rFonts w:ascii="Times New Roman" w:eastAsia="SimSun" w:hAnsi="Times New Roman" w:cs="Times New Roman"/>
          <w:sz w:val="24"/>
          <w:szCs w:val="24"/>
          <w:lang w:val="en-GB" w:eastAsia="zh-CN" w:bidi="ar-SA"/>
        </w:rPr>
      </w:pPr>
      <w:r w:rsidRPr="00270A75">
        <w:rPr>
          <w:rFonts w:ascii="Times New Roman" w:eastAsia="SimSun" w:hAnsi="Times New Roman" w:cs="Times New Roman"/>
          <w:sz w:val="24"/>
          <w:szCs w:val="24"/>
          <w:lang w:val="en-GB" w:eastAsia="zh-CN" w:bidi="ar-SA"/>
        </w:rPr>
        <w:t>International Health Policy Program</w:t>
      </w:r>
      <w:r w:rsidR="00456104">
        <w:rPr>
          <w:rFonts w:ascii="Times New Roman" w:eastAsia="SimSun" w:hAnsi="Times New Roman" w:cs="Times New Roman"/>
          <w:sz w:val="24"/>
          <w:szCs w:val="24"/>
          <w:lang w:val="en-GB" w:eastAsia="zh-CN" w:bidi="ar-SA"/>
        </w:rPr>
        <w:t xml:space="preserve">. </w:t>
      </w:r>
      <w:r w:rsidRPr="00270A75">
        <w:rPr>
          <w:rFonts w:ascii="Times New Roman" w:eastAsia="SimSun" w:hAnsi="Times New Roman" w:cs="Times New Roman"/>
          <w:sz w:val="24"/>
          <w:szCs w:val="24"/>
          <w:lang w:val="en-GB" w:eastAsia="zh-CN" w:bidi="ar-SA"/>
        </w:rPr>
        <w:t>2013.</w:t>
      </w:r>
      <w:r w:rsidR="00456104">
        <w:rPr>
          <w:rFonts w:ascii="Times New Roman" w:eastAsia="SimSun" w:hAnsi="Times New Roman" w:cs="Times New Roman"/>
          <w:sz w:val="24"/>
          <w:szCs w:val="24"/>
          <w:lang w:val="en-GB" w:eastAsia="zh-CN" w:bidi="ar-SA"/>
        </w:rPr>
        <w:t xml:space="preserve"> </w:t>
      </w:r>
      <w:r w:rsidRPr="00270A75">
        <w:rPr>
          <w:rFonts w:ascii="Times New Roman" w:eastAsia="SimSun" w:hAnsi="Times New Roman" w:cs="Times New Roman"/>
          <w:i/>
          <w:iCs/>
          <w:sz w:val="24"/>
          <w:szCs w:val="24"/>
          <w:lang w:val="en-GB" w:eastAsia="zh-CN" w:bidi="ar-SA"/>
        </w:rPr>
        <w:t>National Health Accounts of Thailand.</w:t>
      </w:r>
      <w:r w:rsidRPr="00270A75">
        <w:rPr>
          <w:rFonts w:ascii="Times New Roman" w:eastAsia="SimSun" w:hAnsi="Times New Roman" w:cs="Times New Roman"/>
          <w:sz w:val="24"/>
          <w:szCs w:val="24"/>
          <w:lang w:val="en-GB" w:eastAsia="zh-CN" w:bidi="ar-SA"/>
        </w:rPr>
        <w:t xml:space="preserve"> Bangkok: International Health Policy Program. </w:t>
      </w:r>
      <w:r w:rsidR="00456104">
        <w:rPr>
          <w:rFonts w:ascii="Times New Roman" w:eastAsia="SimSun" w:hAnsi="Times New Roman" w:cs="Times New Roman"/>
          <w:sz w:val="24"/>
          <w:szCs w:val="24"/>
          <w:lang w:val="en-GB" w:eastAsia="zh-CN" w:bidi="ar-SA"/>
        </w:rPr>
        <w:t>Accessed</w:t>
      </w:r>
      <w:r w:rsidRPr="00270A75">
        <w:rPr>
          <w:rFonts w:ascii="Times New Roman" w:eastAsia="SimSun" w:hAnsi="Times New Roman" w:cs="Times New Roman"/>
          <w:sz w:val="24"/>
          <w:szCs w:val="24"/>
          <w:lang w:val="en-GB" w:eastAsia="zh-CN" w:bidi="ar-SA"/>
        </w:rPr>
        <w:t xml:space="preserve"> </w:t>
      </w:r>
      <w:r w:rsidR="00456104">
        <w:rPr>
          <w:rFonts w:ascii="Times New Roman" w:eastAsia="SimSun" w:hAnsi="Times New Roman" w:cs="Times New Roman"/>
          <w:sz w:val="24"/>
          <w:szCs w:val="24"/>
          <w:lang w:val="en-GB" w:eastAsia="zh-CN" w:bidi="ar-SA"/>
        </w:rPr>
        <w:t>October 1</w:t>
      </w:r>
      <w:r w:rsidRPr="00270A75">
        <w:rPr>
          <w:rFonts w:ascii="Times New Roman" w:eastAsia="SimSun" w:hAnsi="Times New Roman" w:cs="Times New Roman"/>
          <w:sz w:val="24"/>
          <w:szCs w:val="24"/>
          <w:lang w:val="en-GB" w:eastAsia="zh-CN" w:bidi="ar-SA"/>
        </w:rPr>
        <w:t>, 201</w:t>
      </w:r>
      <w:r w:rsidR="00456104">
        <w:rPr>
          <w:rFonts w:ascii="Times New Roman" w:eastAsia="SimSun" w:hAnsi="Times New Roman" w:cs="Times New Roman"/>
          <w:sz w:val="24"/>
          <w:szCs w:val="24"/>
          <w:lang w:val="en-GB" w:eastAsia="zh-CN" w:bidi="ar-SA"/>
        </w:rPr>
        <w:t>5</w:t>
      </w:r>
      <w:r w:rsidRPr="00270A75">
        <w:rPr>
          <w:rFonts w:ascii="Times New Roman" w:eastAsia="SimSun" w:hAnsi="Times New Roman" w:cs="Times New Roman"/>
          <w:sz w:val="24"/>
          <w:szCs w:val="24"/>
          <w:lang w:val="en-GB" w:eastAsia="zh-CN" w:bidi="ar-SA"/>
        </w:rPr>
        <w:t xml:space="preserve"> </w:t>
      </w:r>
      <w:hyperlink r:id="rId35" w:history="1">
        <w:r w:rsidRPr="00270A75">
          <w:rPr>
            <w:rStyle w:val="Hyperlink"/>
            <w:rFonts w:ascii="Times New Roman" w:eastAsia="SimSun" w:hAnsi="Times New Roman" w:cs="Times New Roman"/>
            <w:sz w:val="24"/>
            <w:szCs w:val="24"/>
            <w:lang w:val="en-GB" w:eastAsia="zh-CN" w:bidi="ar-SA"/>
          </w:rPr>
          <w:t>http://ihpp.thaigov.net/index.php?option=com_content&amp;view=article&amp;id=215</w:t>
        </w:r>
      </w:hyperlink>
    </w:p>
    <w:p w14:paraId="04E6CE30" w14:textId="32059B0E" w:rsidR="006520F4" w:rsidRDefault="006520F4" w:rsidP="006520F4">
      <w:pPr>
        <w:spacing w:before="240" w:after="120"/>
        <w:ind w:left="357" w:hanging="357"/>
        <w:rPr>
          <w:rStyle w:val="Hyperlink"/>
          <w:rFonts w:ascii="Times New Roman" w:hAnsi="Times New Roman" w:cs="Times New Roman"/>
          <w:sz w:val="24"/>
          <w:szCs w:val="24"/>
        </w:rPr>
      </w:pPr>
      <w:r w:rsidRPr="006520F4">
        <w:rPr>
          <w:rFonts w:ascii="Times New Roman" w:hAnsi="Times New Roman" w:cs="Times New Roman"/>
          <w:sz w:val="24"/>
          <w:szCs w:val="24"/>
        </w:rPr>
        <w:t xml:space="preserve">Kirtikara, K. 2001, </w:t>
      </w:r>
      <w:r w:rsidRPr="006520F4">
        <w:rPr>
          <w:rFonts w:ascii="Times New Roman" w:hAnsi="Times New Roman" w:cs="Times New Roman"/>
          <w:i/>
          <w:iCs/>
          <w:sz w:val="24"/>
          <w:szCs w:val="24"/>
        </w:rPr>
        <w:t>Higher Education in Thailand and the National Reform Roadmap</w:t>
      </w:r>
      <w:r w:rsidRPr="006520F4">
        <w:rPr>
          <w:rFonts w:ascii="Times New Roman" w:hAnsi="Times New Roman" w:cs="Times New Roman"/>
          <w:sz w:val="24"/>
          <w:szCs w:val="24"/>
        </w:rPr>
        <w:t xml:space="preserve">. Paper presented at the Thai-US Education Roundtable, Bangkok. </w:t>
      </w:r>
      <w:r w:rsidR="00456104">
        <w:rPr>
          <w:rFonts w:ascii="Times New Roman" w:hAnsi="Times New Roman" w:cs="Times New Roman"/>
          <w:sz w:val="24"/>
          <w:szCs w:val="24"/>
        </w:rPr>
        <w:t xml:space="preserve">Accessed </w:t>
      </w:r>
      <w:r w:rsidRPr="006520F4">
        <w:rPr>
          <w:rFonts w:ascii="Times New Roman" w:hAnsi="Times New Roman" w:cs="Times New Roman"/>
          <w:sz w:val="24"/>
          <w:szCs w:val="24"/>
        </w:rPr>
        <w:t xml:space="preserve">October </w:t>
      </w:r>
      <w:r w:rsidR="00456104">
        <w:rPr>
          <w:rFonts w:ascii="Times New Roman" w:hAnsi="Times New Roman" w:cs="Times New Roman"/>
          <w:sz w:val="24"/>
          <w:szCs w:val="24"/>
        </w:rPr>
        <w:t>1,</w:t>
      </w:r>
      <w:r w:rsidRPr="006520F4">
        <w:rPr>
          <w:rFonts w:ascii="Times New Roman" w:hAnsi="Times New Roman" w:cs="Times New Roman"/>
          <w:sz w:val="24"/>
          <w:szCs w:val="24"/>
        </w:rPr>
        <w:t xml:space="preserve"> 201</w:t>
      </w:r>
      <w:r w:rsidR="00456104">
        <w:rPr>
          <w:rFonts w:ascii="Times New Roman" w:hAnsi="Times New Roman" w:cs="Times New Roman"/>
          <w:sz w:val="24"/>
          <w:szCs w:val="24"/>
        </w:rPr>
        <w:t>5</w:t>
      </w:r>
      <w:r w:rsidRPr="006520F4">
        <w:rPr>
          <w:rFonts w:ascii="Times New Roman" w:hAnsi="Times New Roman" w:cs="Times New Roman"/>
          <w:sz w:val="24"/>
          <w:szCs w:val="24"/>
        </w:rPr>
        <w:t xml:space="preserve"> </w:t>
      </w:r>
      <w:hyperlink r:id="rId36" w:history="1">
        <w:r w:rsidRPr="00773AC1">
          <w:rPr>
            <w:rStyle w:val="Hyperlink"/>
            <w:rFonts w:ascii="Times New Roman" w:hAnsi="Times New Roman" w:cs="Times New Roman"/>
            <w:sz w:val="24"/>
            <w:szCs w:val="24"/>
          </w:rPr>
          <w:t>http://www.kmutt.ac.th/pi/backup/fileKK/Higher%20Edu%20Reform%20Roadmap.pdf</w:t>
        </w:r>
      </w:hyperlink>
    </w:p>
    <w:p w14:paraId="358B7900" w14:textId="77777777" w:rsidR="00135F1C" w:rsidRPr="00AB1010" w:rsidRDefault="00135F1C" w:rsidP="00135F1C">
      <w:pPr>
        <w:spacing w:before="240" w:after="120" w:line="240" w:lineRule="auto"/>
        <w:ind w:left="357" w:hanging="357"/>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 xml:space="preserve">Lee, R. and A. Mason (eds). 2012. </w:t>
      </w:r>
      <w:r w:rsidRPr="00AB1010">
        <w:rPr>
          <w:rStyle w:val="Hyperlink"/>
          <w:rFonts w:ascii="Times New Roman" w:hAnsi="Times New Roman" w:cs="Times New Roman"/>
          <w:i/>
          <w:color w:val="auto"/>
          <w:sz w:val="24"/>
          <w:szCs w:val="24"/>
          <w:u w:val="none"/>
        </w:rPr>
        <w:t>Population Aging and the Generational Economy</w:t>
      </w:r>
      <w:r>
        <w:rPr>
          <w:rStyle w:val="Hyperlink"/>
          <w:rFonts w:ascii="Times New Roman" w:hAnsi="Times New Roman" w:cs="Times New Roman"/>
          <w:color w:val="auto"/>
          <w:sz w:val="24"/>
          <w:szCs w:val="24"/>
          <w:u w:val="none"/>
        </w:rPr>
        <w:t xml:space="preserve">. </w:t>
      </w:r>
      <w:r w:rsidRPr="00AB1010">
        <w:rPr>
          <w:rStyle w:val="Hyperlink"/>
          <w:rFonts w:ascii="Times New Roman" w:hAnsi="Times New Roman" w:cs="Times New Roman"/>
          <w:color w:val="auto"/>
          <w:sz w:val="24"/>
          <w:szCs w:val="24"/>
          <w:u w:val="none"/>
        </w:rPr>
        <w:t>Cheltenham, UK and Northampton, MA, USA, Edward Elgar.</w:t>
      </w:r>
    </w:p>
    <w:p w14:paraId="251E7493" w14:textId="071A5DC5" w:rsidR="00E34CC7" w:rsidRDefault="00456104" w:rsidP="00135F1C">
      <w:pPr>
        <w:spacing w:before="240" w:after="120"/>
        <w:ind w:left="357" w:hanging="357"/>
        <w:rPr>
          <w:rFonts w:ascii="Times New Roman" w:eastAsia="SimSun" w:hAnsi="Times New Roman" w:cs="Times New Roman"/>
          <w:sz w:val="24"/>
          <w:szCs w:val="24"/>
          <w:lang w:val="en-GB" w:eastAsia="zh-CN" w:bidi="ar-SA"/>
        </w:rPr>
      </w:pPr>
      <w:r w:rsidRPr="00456104">
        <w:rPr>
          <w:rStyle w:val="Hyperlink"/>
          <w:rFonts w:ascii="Times New Roman" w:hAnsi="Times New Roman" w:cs="Times New Roman"/>
          <w:color w:val="auto"/>
          <w:sz w:val="24"/>
          <w:szCs w:val="24"/>
          <w:u w:val="none"/>
        </w:rPr>
        <w:t>Mason, A., R. Lee</w:t>
      </w:r>
      <w:r w:rsidR="00E34CC7">
        <w:rPr>
          <w:rStyle w:val="Hyperlink"/>
          <w:rFonts w:ascii="Times New Roman" w:hAnsi="Times New Roman" w:cs="Times New Roman"/>
          <w:color w:val="auto"/>
          <w:sz w:val="24"/>
          <w:szCs w:val="24"/>
          <w:u w:val="none"/>
        </w:rPr>
        <w:t>, D.</w:t>
      </w:r>
      <w:r w:rsidRPr="00456104">
        <w:rPr>
          <w:rStyle w:val="Hyperlink"/>
          <w:rFonts w:ascii="Times New Roman" w:hAnsi="Times New Roman" w:cs="Times New Roman"/>
          <w:color w:val="auto"/>
          <w:sz w:val="24"/>
          <w:szCs w:val="24"/>
          <w:u w:val="none"/>
        </w:rPr>
        <w:t xml:space="preserve"> </w:t>
      </w:r>
      <w:r w:rsidR="00E34CC7" w:rsidRPr="00E34CC7">
        <w:rPr>
          <w:rStyle w:val="Hyperlink"/>
          <w:rFonts w:ascii="Times New Roman" w:hAnsi="Times New Roman" w:cs="Times New Roman"/>
          <w:color w:val="auto"/>
          <w:sz w:val="24"/>
          <w:szCs w:val="24"/>
          <w:u w:val="none"/>
        </w:rPr>
        <w:t>Stojanovic</w:t>
      </w:r>
      <w:r w:rsidR="00E34CC7">
        <w:rPr>
          <w:rStyle w:val="Hyperlink"/>
          <w:rFonts w:ascii="Times New Roman" w:hAnsi="Times New Roman" w:cs="Times New Roman"/>
          <w:color w:val="auto"/>
          <w:sz w:val="24"/>
          <w:szCs w:val="24"/>
          <w:u w:val="none"/>
        </w:rPr>
        <w:t>, and M. Abrigo</w:t>
      </w:r>
      <w:r w:rsidRPr="00456104">
        <w:rPr>
          <w:rStyle w:val="Hyperlink"/>
          <w:rFonts w:ascii="Times New Roman" w:hAnsi="Times New Roman" w:cs="Times New Roman"/>
          <w:color w:val="auto"/>
          <w:sz w:val="24"/>
          <w:szCs w:val="24"/>
          <w:u w:val="none"/>
        </w:rPr>
        <w:t>. 2015. “</w:t>
      </w:r>
      <w:r w:rsidR="00135F1C">
        <w:rPr>
          <w:rStyle w:val="Hyperlink"/>
          <w:rFonts w:ascii="Times New Roman" w:hAnsi="Times New Roman" w:cs="Times New Roman"/>
          <w:color w:val="auto"/>
          <w:sz w:val="24"/>
          <w:szCs w:val="24"/>
          <w:u w:val="none"/>
        </w:rPr>
        <w:t>The Impact of Population Aging on Public and Private Economic Flows</w:t>
      </w:r>
      <w:r w:rsidRPr="00456104">
        <w:rPr>
          <w:rStyle w:val="Hyperlink"/>
          <w:rFonts w:ascii="Times New Roman" w:hAnsi="Times New Roman" w:cs="Times New Roman"/>
          <w:color w:val="auto"/>
          <w:sz w:val="24"/>
          <w:szCs w:val="24"/>
          <w:u w:val="none"/>
        </w:rPr>
        <w:t>”</w:t>
      </w:r>
      <w:r w:rsidR="00E34CC7">
        <w:rPr>
          <w:rFonts w:ascii="Times New Roman" w:eastAsia="SimSun" w:hAnsi="Times New Roman" w:cs="Times New Roman"/>
          <w:sz w:val="24"/>
          <w:szCs w:val="24"/>
          <w:lang w:val="en-GB" w:eastAsia="zh-CN" w:bidi="ar-SA"/>
        </w:rPr>
        <w:t xml:space="preserve">, </w:t>
      </w:r>
      <w:r w:rsidR="00135F1C">
        <w:rPr>
          <w:rFonts w:ascii="Times New Roman" w:eastAsia="SimSun" w:hAnsi="Times New Roman" w:cs="Times New Roman"/>
          <w:sz w:val="24"/>
          <w:szCs w:val="24"/>
          <w:lang w:val="en-GB" w:eastAsia="zh-CN" w:bidi="ar-SA"/>
        </w:rPr>
        <w:t>National Transfer Accounts Working Paper 15-04.</w:t>
      </w:r>
    </w:p>
    <w:p w14:paraId="57B4A77D" w14:textId="77777777" w:rsidR="00C338EE" w:rsidRPr="00270A75" w:rsidRDefault="00C338EE" w:rsidP="00135F1C">
      <w:pPr>
        <w:spacing w:before="240" w:after="120"/>
        <w:ind w:left="357" w:hanging="357"/>
        <w:rPr>
          <w:rFonts w:ascii="Times New Roman" w:eastAsia="SimSun" w:hAnsi="Times New Roman" w:cs="Times New Roman"/>
          <w:sz w:val="24"/>
          <w:szCs w:val="24"/>
          <w:lang w:val="en-GB" w:eastAsia="zh-CN" w:bidi="ar-SA"/>
        </w:rPr>
      </w:pPr>
      <w:r w:rsidRPr="00270A75">
        <w:rPr>
          <w:rFonts w:ascii="Times New Roman" w:eastAsia="SimSun" w:hAnsi="Times New Roman" w:cs="Times New Roman"/>
          <w:sz w:val="24"/>
          <w:szCs w:val="24"/>
          <w:lang w:val="en-GB" w:eastAsia="zh-CN" w:bidi="ar-SA"/>
        </w:rPr>
        <w:t>National Economic and Social Development Board (2012).</w:t>
      </w:r>
      <w:r w:rsidRPr="00270A75">
        <w:rPr>
          <w:rFonts w:ascii="Times New Roman" w:eastAsia="SimSun" w:hAnsi="Times New Roman" w:cs="Times New Roman"/>
          <w:i/>
          <w:iCs/>
          <w:sz w:val="24"/>
          <w:szCs w:val="24"/>
          <w:lang w:val="en-GB" w:eastAsia="zh-CN" w:bidi="ar-SA"/>
        </w:rPr>
        <w:t>National Income of Thailand 2011Chain Volume Measures</w:t>
      </w:r>
      <w:r w:rsidRPr="00270A75">
        <w:rPr>
          <w:rFonts w:ascii="Times New Roman" w:eastAsia="SimSun" w:hAnsi="Times New Roman" w:cs="Times New Roman"/>
          <w:sz w:val="24"/>
          <w:szCs w:val="24"/>
          <w:lang w:val="en-GB" w:eastAsia="zh-CN" w:bidi="ar-SA"/>
        </w:rPr>
        <w:t xml:space="preserve"> (Annual Report, 2011 edition). Bangkok: Office of the National Economic and Social Development Board. </w:t>
      </w:r>
      <w:r w:rsidR="00456104">
        <w:rPr>
          <w:rFonts w:ascii="Times New Roman" w:eastAsia="SimSun" w:hAnsi="Times New Roman" w:cs="Times New Roman"/>
          <w:sz w:val="24"/>
          <w:szCs w:val="24"/>
          <w:lang w:val="en-GB" w:eastAsia="zh-CN" w:bidi="ar-SA"/>
        </w:rPr>
        <w:t xml:space="preserve">Accessed </w:t>
      </w:r>
      <w:r w:rsidRPr="00270A75">
        <w:rPr>
          <w:rFonts w:ascii="Times New Roman" w:eastAsia="SimSun" w:hAnsi="Times New Roman" w:cs="Times New Roman"/>
          <w:sz w:val="24"/>
          <w:szCs w:val="24"/>
          <w:lang w:val="en-GB" w:eastAsia="zh-CN" w:bidi="ar-SA"/>
        </w:rPr>
        <w:t>October 1, 201</w:t>
      </w:r>
      <w:r w:rsidR="00456104">
        <w:rPr>
          <w:rFonts w:ascii="Times New Roman" w:eastAsia="SimSun" w:hAnsi="Times New Roman" w:cs="Times New Roman"/>
          <w:sz w:val="24"/>
          <w:szCs w:val="24"/>
          <w:lang w:val="en-GB" w:eastAsia="zh-CN" w:bidi="ar-SA"/>
        </w:rPr>
        <w:t>5</w:t>
      </w:r>
      <w:r w:rsidRPr="00270A75">
        <w:rPr>
          <w:rFonts w:ascii="Times New Roman" w:eastAsia="SimSun" w:hAnsi="Times New Roman" w:cs="Times New Roman"/>
          <w:sz w:val="24"/>
          <w:szCs w:val="24"/>
          <w:lang w:val="en-GB" w:eastAsia="zh-CN" w:bidi="ar-SA"/>
        </w:rPr>
        <w:t xml:space="preserve"> </w:t>
      </w:r>
      <w:hyperlink r:id="rId37" w:history="1">
        <w:r w:rsidRPr="00270A75">
          <w:rPr>
            <w:rStyle w:val="Hyperlink"/>
            <w:rFonts w:ascii="Times New Roman" w:eastAsia="SimSun" w:hAnsi="Times New Roman" w:cs="Times New Roman"/>
            <w:sz w:val="24"/>
            <w:szCs w:val="24"/>
            <w:lang w:val="en-GB" w:eastAsia="zh-CN" w:bidi="ar-SA"/>
          </w:rPr>
          <w:t>http://www.nesdb.go.th/Default.aspx?tabid=94</w:t>
        </w:r>
      </w:hyperlink>
    </w:p>
    <w:p w14:paraId="488A4173" w14:textId="77777777" w:rsidR="001027CA" w:rsidRPr="00270A75" w:rsidRDefault="001027CA" w:rsidP="00C338EE">
      <w:pPr>
        <w:spacing w:before="240" w:after="120"/>
        <w:ind w:left="357" w:hanging="357"/>
        <w:jc w:val="both"/>
        <w:rPr>
          <w:rFonts w:ascii="Times New Roman" w:hAnsi="Times New Roman" w:cs="Times New Roman"/>
          <w:sz w:val="24"/>
          <w:szCs w:val="24"/>
        </w:rPr>
      </w:pPr>
      <w:r w:rsidRPr="00270A75">
        <w:rPr>
          <w:rFonts w:ascii="Times New Roman" w:hAnsi="Times New Roman" w:cs="Times New Roman"/>
          <w:sz w:val="24"/>
          <w:szCs w:val="24"/>
        </w:rPr>
        <w:t>_______________________</w:t>
      </w:r>
      <w:r w:rsidR="00456104">
        <w:rPr>
          <w:rFonts w:ascii="Times New Roman" w:hAnsi="Times New Roman" w:cs="Times New Roman"/>
          <w:sz w:val="24"/>
          <w:szCs w:val="24"/>
        </w:rPr>
        <w:t>.</w:t>
      </w:r>
      <w:r w:rsidRPr="00270A75">
        <w:rPr>
          <w:rFonts w:ascii="Times New Roman" w:hAnsi="Times New Roman" w:cs="Times New Roman"/>
          <w:sz w:val="24"/>
          <w:szCs w:val="24"/>
        </w:rPr>
        <w:t xml:space="preserve"> 2013</w:t>
      </w:r>
      <w:r w:rsidR="00456104">
        <w:rPr>
          <w:rFonts w:ascii="Times New Roman" w:hAnsi="Times New Roman" w:cs="Times New Roman"/>
          <w:sz w:val="24"/>
          <w:szCs w:val="24"/>
        </w:rPr>
        <w:t xml:space="preserve">. </w:t>
      </w:r>
      <w:r w:rsidRPr="00270A75">
        <w:rPr>
          <w:rFonts w:ascii="Times New Roman" w:hAnsi="Times New Roman" w:cs="Times New Roman"/>
          <w:i/>
          <w:iCs/>
          <w:sz w:val="24"/>
          <w:szCs w:val="24"/>
        </w:rPr>
        <w:t>Population Projections for Thailand 2010-2040.</w:t>
      </w:r>
      <w:r w:rsidRPr="00270A75">
        <w:rPr>
          <w:rFonts w:ascii="Times New Roman" w:hAnsi="Times New Roman" w:cs="Times New Roman"/>
          <w:sz w:val="24"/>
          <w:szCs w:val="24"/>
        </w:rPr>
        <w:t>Bangkok: Office of the National Economic and Social Development Board.</w:t>
      </w:r>
    </w:p>
    <w:p w14:paraId="7AFDA6D9" w14:textId="77777777" w:rsidR="003E7D74" w:rsidRDefault="00140DBC" w:rsidP="00B9021E">
      <w:pPr>
        <w:spacing w:before="240" w:after="120"/>
        <w:ind w:left="357" w:hanging="357"/>
        <w:rPr>
          <w:rFonts w:ascii="Times New Roman" w:hAnsi="Times New Roman" w:cs="Times New Roman"/>
          <w:i/>
          <w:iCs/>
          <w:sz w:val="24"/>
          <w:szCs w:val="24"/>
        </w:rPr>
      </w:pPr>
      <w:r>
        <w:rPr>
          <w:rFonts w:ascii="Times New Roman" w:hAnsi="Times New Roman" w:cs="Times New Roman"/>
          <w:sz w:val="24"/>
          <w:szCs w:val="24"/>
        </w:rPr>
        <w:t>National Health Security Office</w:t>
      </w:r>
      <w:r w:rsidR="00456104">
        <w:rPr>
          <w:rFonts w:ascii="Times New Roman" w:hAnsi="Times New Roman" w:cs="Times New Roman"/>
          <w:sz w:val="24"/>
          <w:szCs w:val="24"/>
        </w:rPr>
        <w:t xml:space="preserve">. </w:t>
      </w:r>
      <w:r>
        <w:rPr>
          <w:rFonts w:ascii="Times New Roman" w:hAnsi="Times New Roman" w:cs="Times New Roman"/>
          <w:sz w:val="24"/>
          <w:szCs w:val="24"/>
        </w:rPr>
        <w:t>2012</w:t>
      </w:r>
      <w:r w:rsidR="00456104">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 xml:space="preserve">The Thai Health Security System </w:t>
      </w:r>
      <w:r w:rsidRPr="00140DBC">
        <w:rPr>
          <w:rFonts w:ascii="Times New Roman" w:hAnsi="Times New Roman" w:cs="Times New Roman"/>
          <w:sz w:val="24"/>
          <w:szCs w:val="24"/>
        </w:rPr>
        <w:t>(in Thai)</w:t>
      </w:r>
      <w:r>
        <w:rPr>
          <w:rFonts w:ascii="Times New Roman" w:hAnsi="Times New Roman" w:cs="Times New Roman"/>
          <w:i/>
          <w:iCs/>
          <w:sz w:val="24"/>
          <w:szCs w:val="24"/>
        </w:rPr>
        <w:t>.</w:t>
      </w:r>
      <w:r>
        <w:rPr>
          <w:rFonts w:ascii="Times New Roman" w:hAnsi="Times New Roman" w:cs="Times New Roman"/>
          <w:sz w:val="24"/>
          <w:szCs w:val="24"/>
        </w:rPr>
        <w:t xml:space="preserve"> Bangkok: National Health Security Office. </w:t>
      </w:r>
      <w:r w:rsidR="00456104">
        <w:rPr>
          <w:rFonts w:ascii="Times New Roman" w:hAnsi="Times New Roman" w:cs="Times New Roman"/>
          <w:sz w:val="24"/>
          <w:szCs w:val="24"/>
        </w:rPr>
        <w:t>Accessed October</w:t>
      </w:r>
      <w:r>
        <w:rPr>
          <w:rFonts w:ascii="Times New Roman" w:hAnsi="Times New Roman" w:cs="Times New Roman"/>
          <w:sz w:val="24"/>
          <w:szCs w:val="24"/>
        </w:rPr>
        <w:t xml:space="preserve"> 1, 201</w:t>
      </w:r>
      <w:r w:rsidR="00456104">
        <w:rPr>
          <w:rFonts w:ascii="Times New Roman" w:hAnsi="Times New Roman" w:cs="Times New Roman"/>
          <w:sz w:val="24"/>
          <w:szCs w:val="24"/>
        </w:rPr>
        <w:t>5</w:t>
      </w:r>
      <w:r w:rsidRPr="003E7D74">
        <w:rPr>
          <w:rFonts w:ascii="Times New Roman" w:hAnsi="Times New Roman" w:cs="Times New Roman"/>
          <w:sz w:val="24"/>
          <w:szCs w:val="24"/>
        </w:rPr>
        <w:t xml:space="preserve"> </w:t>
      </w:r>
      <w:hyperlink r:id="rId38" w:history="1">
        <w:r w:rsidR="003E7D74" w:rsidRPr="00F6034A">
          <w:rPr>
            <w:rStyle w:val="Hyperlink"/>
            <w:rFonts w:ascii="Times New Roman" w:hAnsi="Times New Roman" w:cs="Times New Roman"/>
            <w:sz w:val="24"/>
            <w:szCs w:val="24"/>
          </w:rPr>
          <w:t>http://www.nhso.go.th/frontend/NewsInformationDetail.aspx?newsid=NjI3</w:t>
        </w:r>
      </w:hyperlink>
    </w:p>
    <w:p w14:paraId="6FF6DD5F" w14:textId="77777777" w:rsidR="00C338EE" w:rsidRPr="00270A75" w:rsidRDefault="00C338EE" w:rsidP="00B9021E">
      <w:pPr>
        <w:spacing w:before="240" w:after="120"/>
        <w:ind w:left="357" w:hanging="357"/>
        <w:rPr>
          <w:rFonts w:ascii="Times New Roman" w:hAnsi="Times New Roman" w:cs="Times New Roman"/>
          <w:sz w:val="24"/>
          <w:szCs w:val="24"/>
        </w:rPr>
      </w:pPr>
      <w:r w:rsidRPr="00270A75">
        <w:rPr>
          <w:rFonts w:ascii="Times New Roman" w:hAnsi="Times New Roman" w:cs="Times New Roman"/>
          <w:sz w:val="24"/>
          <w:szCs w:val="24"/>
        </w:rPr>
        <w:t xml:space="preserve">National Statistical Office (several editions). </w:t>
      </w:r>
      <w:r w:rsidRPr="004C5BC7">
        <w:rPr>
          <w:rFonts w:ascii="Times New Roman" w:hAnsi="Times New Roman" w:cs="Times New Roman"/>
          <w:i/>
          <w:iCs/>
          <w:sz w:val="24"/>
          <w:szCs w:val="24"/>
        </w:rPr>
        <w:t>Population and Housing Census.</w:t>
      </w:r>
      <w:r w:rsidRPr="00270A75">
        <w:rPr>
          <w:rFonts w:ascii="Times New Roman" w:hAnsi="Times New Roman" w:cs="Times New Roman"/>
          <w:sz w:val="24"/>
          <w:szCs w:val="24"/>
        </w:rPr>
        <w:t xml:space="preserve"> Bangkok: National Statistical Office.</w:t>
      </w:r>
    </w:p>
    <w:p w14:paraId="6C97802B" w14:textId="77777777" w:rsidR="00C338EE" w:rsidRPr="00270A75" w:rsidRDefault="00C338EE" w:rsidP="00B9021E">
      <w:pPr>
        <w:spacing w:before="240" w:after="120"/>
        <w:ind w:left="357" w:hanging="357"/>
        <w:rPr>
          <w:rFonts w:ascii="Times New Roman" w:hAnsi="Times New Roman" w:cs="Times New Roman"/>
          <w:sz w:val="24"/>
          <w:szCs w:val="24"/>
        </w:rPr>
      </w:pPr>
      <w:r w:rsidRPr="00270A75">
        <w:rPr>
          <w:rFonts w:ascii="Times New Roman" w:hAnsi="Times New Roman" w:cs="Times New Roman"/>
          <w:sz w:val="24"/>
          <w:szCs w:val="24"/>
        </w:rPr>
        <w:t>National Statistical Office</w:t>
      </w:r>
      <w:r w:rsidR="00456104">
        <w:rPr>
          <w:rFonts w:ascii="Times New Roman" w:hAnsi="Times New Roman" w:cs="Times New Roman"/>
          <w:sz w:val="24"/>
          <w:szCs w:val="24"/>
        </w:rPr>
        <w:t xml:space="preserve">. </w:t>
      </w:r>
      <w:r w:rsidRPr="00270A75">
        <w:rPr>
          <w:rFonts w:ascii="Times New Roman" w:hAnsi="Times New Roman" w:cs="Times New Roman"/>
          <w:sz w:val="24"/>
          <w:szCs w:val="24"/>
        </w:rPr>
        <w:t>2012.</w:t>
      </w:r>
      <w:r w:rsidR="00456104">
        <w:rPr>
          <w:rFonts w:ascii="Times New Roman" w:hAnsi="Times New Roman" w:cs="Times New Roman"/>
          <w:sz w:val="24"/>
          <w:szCs w:val="24"/>
        </w:rPr>
        <w:t xml:space="preserve"> </w:t>
      </w:r>
      <w:r w:rsidRPr="00270A75">
        <w:rPr>
          <w:rFonts w:ascii="Times New Roman" w:hAnsi="Times New Roman" w:cs="Times New Roman"/>
          <w:i/>
          <w:iCs/>
          <w:sz w:val="24"/>
          <w:szCs w:val="24"/>
        </w:rPr>
        <w:t>The 2011 Household Socio-Economic Survey: Whole Kingdom.</w:t>
      </w:r>
      <w:r w:rsidRPr="00270A75">
        <w:rPr>
          <w:rFonts w:ascii="Times New Roman" w:hAnsi="Times New Roman" w:cs="Times New Roman"/>
          <w:sz w:val="24"/>
          <w:szCs w:val="24"/>
        </w:rPr>
        <w:t xml:space="preserve"> Bangkok: National Statistical Office.</w:t>
      </w:r>
    </w:p>
    <w:p w14:paraId="0B1CD8CD" w14:textId="77777777" w:rsidR="001027CA" w:rsidRPr="00270A75" w:rsidRDefault="001027CA" w:rsidP="00C338EE">
      <w:pPr>
        <w:spacing w:before="240" w:after="120" w:line="240" w:lineRule="auto"/>
        <w:ind w:left="357" w:hanging="357"/>
        <w:rPr>
          <w:rFonts w:ascii="Times New Roman" w:eastAsia="SimSun" w:hAnsi="Times New Roman" w:cs="Times New Roman"/>
          <w:sz w:val="24"/>
          <w:szCs w:val="24"/>
          <w:lang w:eastAsia="zh-CN" w:bidi="ar-SA"/>
        </w:rPr>
      </w:pPr>
      <w:r w:rsidRPr="00270A75">
        <w:rPr>
          <w:rFonts w:ascii="Times New Roman" w:hAnsi="Times New Roman" w:cs="Times New Roman"/>
          <w:sz w:val="24"/>
          <w:szCs w:val="24"/>
        </w:rPr>
        <w:t>_______________________ 2012.</w:t>
      </w:r>
      <w:r w:rsidR="00456104">
        <w:rPr>
          <w:rFonts w:ascii="Times New Roman" w:hAnsi="Times New Roman" w:cs="Times New Roman"/>
          <w:sz w:val="24"/>
          <w:szCs w:val="24"/>
        </w:rPr>
        <w:t xml:space="preserve"> </w:t>
      </w:r>
      <w:r w:rsidRPr="00270A75">
        <w:rPr>
          <w:rFonts w:ascii="Times New Roman" w:hAnsi="Times New Roman" w:cs="Times New Roman"/>
          <w:i/>
          <w:iCs/>
          <w:sz w:val="24"/>
          <w:szCs w:val="24"/>
        </w:rPr>
        <w:t>The 2011 Health and Welfare Survey: Whole Kingdom.</w:t>
      </w:r>
      <w:r w:rsidRPr="00270A75">
        <w:rPr>
          <w:rFonts w:ascii="Times New Roman" w:hAnsi="Times New Roman" w:cs="Times New Roman"/>
          <w:sz w:val="24"/>
          <w:szCs w:val="24"/>
        </w:rPr>
        <w:t xml:space="preserve"> Bangkok: National Statistical Office.</w:t>
      </w:r>
    </w:p>
    <w:p w14:paraId="6CB5E897" w14:textId="77777777" w:rsidR="001027CA" w:rsidRDefault="001027CA" w:rsidP="00AB1010">
      <w:pPr>
        <w:spacing w:before="240" w:after="120" w:line="240" w:lineRule="auto"/>
        <w:ind w:left="357" w:right="-90" w:hanging="357"/>
        <w:rPr>
          <w:rStyle w:val="Hyperlink"/>
          <w:rFonts w:ascii="Times New Roman" w:hAnsi="Times New Roman" w:cs="Times New Roman"/>
          <w:sz w:val="24"/>
          <w:szCs w:val="24"/>
        </w:rPr>
      </w:pPr>
      <w:r w:rsidRPr="00270A75">
        <w:rPr>
          <w:rFonts w:ascii="Times New Roman" w:eastAsia="SimSun" w:hAnsi="Times New Roman" w:cs="Times New Roman"/>
          <w:sz w:val="24"/>
          <w:szCs w:val="24"/>
          <w:lang w:eastAsia="zh-CN" w:bidi="ar-SA"/>
        </w:rPr>
        <w:t>Pananiramai, M</w:t>
      </w:r>
      <w:r w:rsidR="005031EC">
        <w:rPr>
          <w:rFonts w:ascii="Times New Roman" w:eastAsia="SimSun" w:hAnsi="Times New Roman" w:cs="Times New Roman"/>
          <w:sz w:val="24"/>
          <w:szCs w:val="24"/>
          <w:lang w:eastAsia="zh-CN" w:bidi="ar-SA"/>
        </w:rPr>
        <w:t>.</w:t>
      </w:r>
      <w:r w:rsidRPr="00270A75">
        <w:rPr>
          <w:rFonts w:ascii="Times New Roman" w:eastAsia="SimSun" w:hAnsi="Times New Roman" w:cs="Times New Roman"/>
          <w:sz w:val="24"/>
          <w:szCs w:val="24"/>
          <w:lang w:eastAsia="zh-CN" w:bidi="ar-SA"/>
        </w:rPr>
        <w:t xml:space="preserve"> 2007. </w:t>
      </w:r>
      <w:r w:rsidR="00A16EBB" w:rsidRPr="00270A75">
        <w:rPr>
          <w:rFonts w:ascii="Times New Roman" w:eastAsia="SimSun" w:hAnsi="Times New Roman" w:cs="Times New Roman"/>
          <w:i/>
          <w:iCs/>
          <w:sz w:val="24"/>
          <w:szCs w:val="24"/>
          <w:lang w:eastAsia="zh-CN" w:bidi="ar-SA"/>
        </w:rPr>
        <w:t>Effects of Change in the Method to Close the Deficit and Implications for Welfare State</w:t>
      </w:r>
      <w:r w:rsidR="00A16EBB" w:rsidRPr="00270A75">
        <w:rPr>
          <w:rFonts w:ascii="Times New Roman" w:eastAsia="SimSun" w:hAnsi="Times New Roman" w:cs="Times New Roman"/>
          <w:sz w:val="24"/>
          <w:szCs w:val="24"/>
          <w:lang w:eastAsia="zh-CN" w:bidi="ar-SA"/>
        </w:rPr>
        <w:t xml:space="preserve"> (in Thai).</w:t>
      </w:r>
      <w:r w:rsidR="00A16EBB" w:rsidRPr="00270A75">
        <w:rPr>
          <w:rFonts w:ascii="Times New Roman" w:hAnsi="Times New Roman" w:cs="Times New Roman"/>
          <w:sz w:val="24"/>
          <w:szCs w:val="24"/>
        </w:rPr>
        <w:t xml:space="preserve">Paper presented at the TDRI Year-end Conference 2007 in Pattaya, Thailand. </w:t>
      </w:r>
      <w:r w:rsidR="00456104">
        <w:rPr>
          <w:rFonts w:ascii="Times New Roman" w:hAnsi="Times New Roman" w:cs="Times New Roman"/>
          <w:sz w:val="24"/>
          <w:szCs w:val="24"/>
        </w:rPr>
        <w:t>Accessed October 1</w:t>
      </w:r>
      <w:r w:rsidR="00A16EBB" w:rsidRPr="00270A75">
        <w:rPr>
          <w:rFonts w:ascii="Times New Roman" w:hAnsi="Times New Roman" w:cs="Times New Roman"/>
          <w:sz w:val="24"/>
          <w:szCs w:val="24"/>
        </w:rPr>
        <w:t>, 201</w:t>
      </w:r>
      <w:r w:rsidR="00456104">
        <w:rPr>
          <w:rFonts w:ascii="Times New Roman" w:hAnsi="Times New Roman" w:cs="Times New Roman"/>
          <w:sz w:val="24"/>
          <w:szCs w:val="24"/>
        </w:rPr>
        <w:t>5</w:t>
      </w:r>
      <w:r w:rsidR="00A16EBB" w:rsidRPr="00270A75">
        <w:rPr>
          <w:rFonts w:ascii="Times New Roman" w:hAnsi="Times New Roman" w:cs="Times New Roman"/>
          <w:sz w:val="24"/>
          <w:szCs w:val="24"/>
        </w:rPr>
        <w:t xml:space="preserve"> </w:t>
      </w:r>
      <w:hyperlink r:id="rId39" w:history="1">
        <w:r w:rsidR="00AB1010" w:rsidRPr="0051482A">
          <w:rPr>
            <w:rStyle w:val="Hyperlink"/>
            <w:rFonts w:ascii="Times New Roman" w:hAnsi="Times New Roman" w:cs="Times New Roman"/>
            <w:sz w:val="24"/>
            <w:szCs w:val="24"/>
          </w:rPr>
          <w:t xml:space="preserve">http://tdri.or.th/wp-content/uploads/2013/02/g3_mattana. pdf </w:t>
        </w:r>
      </w:hyperlink>
      <w:r w:rsidR="00AB1010">
        <w:rPr>
          <w:rStyle w:val="Hyperlink"/>
          <w:rFonts w:ascii="Times New Roman" w:hAnsi="Times New Roman" w:cs="Times New Roman"/>
          <w:sz w:val="24"/>
          <w:szCs w:val="24"/>
        </w:rPr>
        <w:t xml:space="preserve"> </w:t>
      </w:r>
    </w:p>
    <w:p w14:paraId="004992E4" w14:textId="77777777" w:rsidR="0069120C" w:rsidRDefault="005031EC" w:rsidP="00C338EE">
      <w:pPr>
        <w:spacing w:before="240" w:after="120" w:line="240" w:lineRule="auto"/>
        <w:ind w:left="357" w:hanging="357"/>
        <w:rPr>
          <w:rFonts w:ascii="Times New Roman" w:eastAsia="SimSun" w:hAnsi="Times New Roman" w:cs="Times New Roman"/>
          <w:sz w:val="24"/>
          <w:szCs w:val="24"/>
          <w:lang w:eastAsia="zh-CN" w:bidi="ar-SA"/>
        </w:rPr>
      </w:pPr>
      <w:r>
        <w:rPr>
          <w:rFonts w:ascii="Times New Roman" w:eastAsia="SimSun" w:hAnsi="Times New Roman" w:cs="Times New Roman"/>
          <w:sz w:val="24"/>
          <w:szCs w:val="24"/>
          <w:lang w:eastAsia="zh-CN" w:bidi="ar-SA"/>
        </w:rPr>
        <w:t xml:space="preserve">Sakunphanit, T </w:t>
      </w:r>
      <w:r w:rsidR="00AB1010">
        <w:rPr>
          <w:rFonts w:ascii="Times New Roman" w:eastAsia="SimSun" w:hAnsi="Times New Roman" w:cs="Times New Roman"/>
          <w:sz w:val="24"/>
          <w:szCs w:val="24"/>
          <w:lang w:eastAsia="zh-CN" w:bidi="ar-SA"/>
        </w:rPr>
        <w:t>and</w:t>
      </w:r>
      <w:r>
        <w:rPr>
          <w:rFonts w:ascii="Times New Roman" w:eastAsia="SimSun" w:hAnsi="Times New Roman" w:cs="Times New Roman"/>
          <w:sz w:val="24"/>
          <w:szCs w:val="24"/>
          <w:lang w:eastAsia="zh-CN" w:bidi="ar-SA"/>
        </w:rPr>
        <w:t xml:space="preserve"> </w:t>
      </w:r>
      <w:r w:rsidR="00AB1010">
        <w:rPr>
          <w:rFonts w:ascii="Times New Roman" w:eastAsia="SimSun" w:hAnsi="Times New Roman" w:cs="Times New Roman"/>
          <w:sz w:val="24"/>
          <w:szCs w:val="24"/>
          <w:lang w:eastAsia="zh-CN" w:bidi="ar-SA"/>
        </w:rPr>
        <w:t xml:space="preserve">W. </w:t>
      </w:r>
      <w:r>
        <w:rPr>
          <w:rFonts w:ascii="Times New Roman" w:eastAsia="SimSun" w:hAnsi="Times New Roman" w:cs="Times New Roman"/>
          <w:sz w:val="24"/>
          <w:szCs w:val="24"/>
          <w:lang w:eastAsia="zh-CN" w:bidi="ar-SA"/>
        </w:rPr>
        <w:t xml:space="preserve">Suwanrada 2011. 500 Baht Universal Pension Scheme. In ILO-SU/SSC (Eds.), </w:t>
      </w:r>
      <w:r>
        <w:rPr>
          <w:rFonts w:ascii="Times New Roman" w:eastAsia="SimSun" w:hAnsi="Times New Roman" w:cs="Times New Roman"/>
          <w:i/>
          <w:iCs/>
          <w:sz w:val="24"/>
          <w:szCs w:val="24"/>
          <w:lang w:eastAsia="zh-CN" w:bidi="ar-SA"/>
        </w:rPr>
        <w:t xml:space="preserve">Sharing Innovative Experiences: Successful Social Protection Floors Experiences, </w:t>
      </w:r>
      <w:r>
        <w:rPr>
          <w:rFonts w:ascii="Times New Roman" w:eastAsia="SimSun" w:hAnsi="Times New Roman" w:cs="Times New Roman"/>
          <w:sz w:val="24"/>
          <w:szCs w:val="24"/>
          <w:lang w:eastAsia="zh-CN" w:bidi="ar-SA"/>
        </w:rPr>
        <w:t xml:space="preserve">Vol.18 (pp. 385-399). </w:t>
      </w:r>
      <w:r w:rsidR="00456104">
        <w:rPr>
          <w:rFonts w:ascii="Times New Roman" w:eastAsia="SimSun" w:hAnsi="Times New Roman" w:cs="Times New Roman"/>
          <w:sz w:val="24"/>
          <w:szCs w:val="24"/>
          <w:lang w:eastAsia="zh-CN" w:bidi="ar-SA"/>
        </w:rPr>
        <w:t>Accessed</w:t>
      </w:r>
      <w:r>
        <w:rPr>
          <w:rFonts w:ascii="Times New Roman" w:eastAsia="SimSun" w:hAnsi="Times New Roman" w:cs="Times New Roman"/>
          <w:sz w:val="24"/>
          <w:szCs w:val="24"/>
          <w:lang w:eastAsia="zh-CN" w:bidi="ar-SA"/>
        </w:rPr>
        <w:t xml:space="preserve"> </w:t>
      </w:r>
      <w:r w:rsidR="00456104">
        <w:rPr>
          <w:rFonts w:ascii="Times New Roman" w:eastAsia="SimSun" w:hAnsi="Times New Roman" w:cs="Times New Roman"/>
          <w:sz w:val="24"/>
          <w:szCs w:val="24"/>
          <w:lang w:eastAsia="zh-CN" w:bidi="ar-SA"/>
        </w:rPr>
        <w:t>October 1</w:t>
      </w:r>
      <w:r>
        <w:rPr>
          <w:rFonts w:ascii="Times New Roman" w:eastAsia="SimSun" w:hAnsi="Times New Roman" w:cs="Times New Roman"/>
          <w:sz w:val="24"/>
          <w:szCs w:val="24"/>
          <w:lang w:eastAsia="zh-CN" w:bidi="ar-SA"/>
        </w:rPr>
        <w:t xml:space="preserve">, 2015 </w:t>
      </w:r>
      <w:hyperlink r:id="rId40" w:history="1">
        <w:r w:rsidRPr="000F436F">
          <w:rPr>
            <w:rStyle w:val="Hyperlink"/>
            <w:rFonts w:ascii="Times New Roman" w:eastAsia="SimSun" w:hAnsi="Times New Roman" w:cs="Times New Roman"/>
            <w:sz w:val="24"/>
            <w:szCs w:val="24"/>
            <w:lang w:eastAsia="zh-CN" w:bidi="ar-SA"/>
          </w:rPr>
          <w:t>http://www.socialsecurityextension.org/gimi/gess/ShowRessource.action?ressource.ressourceId=24378</w:t>
        </w:r>
      </w:hyperlink>
    </w:p>
    <w:p w14:paraId="2194F3EC" w14:textId="77777777" w:rsidR="00C338EE" w:rsidRPr="00270A75" w:rsidRDefault="00C338EE" w:rsidP="00C338EE">
      <w:pPr>
        <w:spacing w:before="240" w:after="120" w:line="240" w:lineRule="auto"/>
        <w:ind w:left="357" w:hanging="357"/>
        <w:rPr>
          <w:rFonts w:ascii="Times New Roman" w:eastAsia="SimSun" w:hAnsi="Times New Roman" w:cs="Times New Roman"/>
          <w:sz w:val="24"/>
          <w:szCs w:val="24"/>
          <w:lang w:eastAsia="zh-CN" w:bidi="ar-SA"/>
        </w:rPr>
      </w:pPr>
      <w:r w:rsidRPr="00270A75">
        <w:rPr>
          <w:rFonts w:ascii="Times New Roman" w:eastAsia="SimSun" w:hAnsi="Times New Roman" w:cs="Times New Roman"/>
          <w:sz w:val="24"/>
          <w:szCs w:val="24"/>
          <w:lang w:eastAsia="zh-CN" w:bidi="ar-SA"/>
        </w:rPr>
        <w:t>United Nations</w:t>
      </w:r>
      <w:r w:rsidR="006C3F6B">
        <w:rPr>
          <w:rFonts w:ascii="Times New Roman" w:eastAsia="SimSun" w:hAnsi="Times New Roman" w:cs="Times New Roman"/>
          <w:sz w:val="24"/>
          <w:szCs w:val="24"/>
          <w:lang w:eastAsia="zh-CN" w:bidi="ar-SA"/>
        </w:rPr>
        <w:t xml:space="preserve">. </w:t>
      </w:r>
      <w:r w:rsidRPr="00270A75">
        <w:rPr>
          <w:rFonts w:ascii="Times New Roman" w:eastAsia="SimSun" w:hAnsi="Times New Roman" w:cs="Times New Roman"/>
          <w:sz w:val="24"/>
          <w:szCs w:val="24"/>
          <w:lang w:eastAsia="zh-CN" w:bidi="ar-SA"/>
        </w:rPr>
        <w:t>2013</w:t>
      </w:r>
      <w:r w:rsidR="006C3F6B">
        <w:rPr>
          <w:rFonts w:ascii="Times New Roman" w:eastAsia="SimSun" w:hAnsi="Times New Roman" w:cs="Times New Roman"/>
          <w:sz w:val="24"/>
          <w:szCs w:val="24"/>
          <w:lang w:eastAsia="zh-CN" w:bidi="ar-SA"/>
        </w:rPr>
        <w:t xml:space="preserve">. </w:t>
      </w:r>
      <w:r w:rsidRPr="00270A75">
        <w:rPr>
          <w:rFonts w:ascii="Times New Roman" w:eastAsia="SimSun" w:hAnsi="Times New Roman" w:cs="Times New Roman"/>
          <w:i/>
          <w:iCs/>
          <w:sz w:val="24"/>
          <w:szCs w:val="24"/>
          <w:lang w:eastAsia="zh-CN" w:bidi="ar-SA"/>
        </w:rPr>
        <w:t>National Transfer Accounts Manual: Measuring and Analysing the Generational Economy.</w:t>
      </w:r>
      <w:r w:rsidRPr="00270A75">
        <w:rPr>
          <w:rFonts w:ascii="Times New Roman" w:eastAsia="SimSun" w:hAnsi="Times New Roman" w:cs="Times New Roman"/>
          <w:sz w:val="24"/>
          <w:szCs w:val="24"/>
          <w:lang w:eastAsia="zh-CN" w:bidi="ar-SA"/>
        </w:rPr>
        <w:t xml:space="preserve"> </w:t>
      </w:r>
      <w:r w:rsidR="006C3F6B" w:rsidRPr="006C3F6B">
        <w:rPr>
          <w:rFonts w:ascii="Times New Roman" w:eastAsia="SimSun" w:hAnsi="Times New Roman" w:cs="Times New Roman"/>
          <w:sz w:val="24"/>
          <w:szCs w:val="24"/>
          <w:lang w:eastAsia="zh-CN" w:bidi="ar-SA"/>
        </w:rPr>
        <w:t>Population Division of the Department of Economic and Social Affairs of</w:t>
      </w:r>
      <w:r w:rsidR="006C3F6B">
        <w:rPr>
          <w:rFonts w:ascii="Times New Roman" w:eastAsia="SimSun" w:hAnsi="Times New Roman" w:cs="Times New Roman"/>
          <w:sz w:val="24"/>
          <w:szCs w:val="24"/>
          <w:lang w:eastAsia="zh-CN" w:bidi="ar-SA"/>
        </w:rPr>
        <w:t xml:space="preserve"> the United Nations Secretariat. </w:t>
      </w:r>
      <w:r w:rsidRPr="00270A75">
        <w:rPr>
          <w:rFonts w:ascii="Times New Roman" w:eastAsia="SimSun" w:hAnsi="Times New Roman" w:cs="Times New Roman"/>
          <w:sz w:val="24"/>
          <w:szCs w:val="24"/>
          <w:lang w:eastAsia="zh-CN" w:bidi="ar-SA"/>
        </w:rPr>
        <w:t>N</w:t>
      </w:r>
      <w:r w:rsidR="001027CA" w:rsidRPr="00270A75">
        <w:rPr>
          <w:rFonts w:ascii="Times New Roman" w:eastAsia="SimSun" w:hAnsi="Times New Roman" w:cs="Times New Roman"/>
          <w:sz w:val="24"/>
          <w:szCs w:val="24"/>
          <w:lang w:eastAsia="zh-CN" w:bidi="ar-SA"/>
        </w:rPr>
        <w:t>ew York:</w:t>
      </w:r>
      <w:r w:rsidRPr="00270A75">
        <w:rPr>
          <w:rFonts w:ascii="Times New Roman" w:eastAsia="SimSun" w:hAnsi="Times New Roman" w:cs="Times New Roman"/>
          <w:sz w:val="24"/>
          <w:szCs w:val="24"/>
          <w:lang w:eastAsia="zh-CN" w:bidi="ar-SA"/>
        </w:rPr>
        <w:t xml:space="preserve"> United Nations Publication.</w:t>
      </w:r>
    </w:p>
    <w:p w14:paraId="6A5E55F6" w14:textId="77777777" w:rsidR="0060551A" w:rsidRDefault="0060551A" w:rsidP="00C338EE">
      <w:pPr>
        <w:spacing w:before="240" w:after="120" w:line="240" w:lineRule="auto"/>
        <w:ind w:left="357" w:hanging="357"/>
        <w:rPr>
          <w:rFonts w:ascii="Times New Roman" w:eastAsia="SimSun" w:hAnsi="Times New Roman" w:cs="Times New Roman"/>
          <w:sz w:val="24"/>
          <w:szCs w:val="24"/>
          <w:lang w:eastAsia="zh-CN" w:bidi="ar-SA"/>
        </w:rPr>
      </w:pPr>
      <w:r>
        <w:rPr>
          <w:rFonts w:ascii="Times New Roman" w:eastAsia="SimSun" w:hAnsi="Times New Roman" w:cs="Times New Roman"/>
          <w:sz w:val="24"/>
          <w:szCs w:val="24"/>
          <w:lang w:eastAsia="zh-CN" w:bidi="ar-SA"/>
        </w:rPr>
        <w:t xml:space="preserve">United Nations Education, Scientific and Cultural Organization (UNESCO) (2000). </w:t>
      </w:r>
      <w:r>
        <w:rPr>
          <w:rFonts w:ascii="Times New Roman" w:eastAsia="SimSun" w:hAnsi="Times New Roman" w:cs="Times New Roman"/>
          <w:i/>
          <w:iCs/>
          <w:sz w:val="24"/>
          <w:szCs w:val="24"/>
          <w:lang w:eastAsia="zh-CN" w:bidi="ar-SA"/>
        </w:rPr>
        <w:t xml:space="preserve">The EFA 2000 Assessment Thailand Country Report. </w:t>
      </w:r>
      <w:r>
        <w:rPr>
          <w:rFonts w:ascii="Times New Roman" w:eastAsia="SimSun" w:hAnsi="Times New Roman" w:cs="Times New Roman"/>
          <w:sz w:val="24"/>
          <w:szCs w:val="24"/>
          <w:lang w:eastAsia="zh-CN" w:bidi="ar-SA"/>
        </w:rPr>
        <w:t xml:space="preserve">Paris: UNESCO. </w:t>
      </w:r>
      <w:r w:rsidR="00456104">
        <w:rPr>
          <w:rFonts w:ascii="Times New Roman" w:eastAsia="SimSun" w:hAnsi="Times New Roman" w:cs="Times New Roman"/>
          <w:sz w:val="24"/>
          <w:szCs w:val="24"/>
          <w:lang w:eastAsia="zh-CN" w:bidi="ar-SA"/>
        </w:rPr>
        <w:t>Accessed October 1</w:t>
      </w:r>
      <w:r w:rsidRPr="00270A75">
        <w:rPr>
          <w:rFonts w:ascii="Times New Roman" w:hAnsi="Times New Roman" w:cs="Times New Roman"/>
          <w:sz w:val="24"/>
          <w:szCs w:val="24"/>
        </w:rPr>
        <w:t>, 201</w:t>
      </w:r>
      <w:r w:rsidR="00456104">
        <w:rPr>
          <w:rFonts w:ascii="Times New Roman" w:hAnsi="Times New Roman" w:cs="Times New Roman"/>
          <w:sz w:val="24"/>
          <w:szCs w:val="24"/>
        </w:rPr>
        <w:t>5</w:t>
      </w:r>
      <w:r>
        <w:rPr>
          <w:rFonts w:ascii="Times New Roman" w:eastAsia="SimSun" w:hAnsi="Times New Roman" w:cs="Times New Roman"/>
          <w:sz w:val="24"/>
          <w:szCs w:val="24"/>
          <w:lang w:eastAsia="zh-CN" w:bidi="ar-SA"/>
        </w:rPr>
        <w:t xml:space="preserve"> </w:t>
      </w:r>
      <w:hyperlink r:id="rId41" w:history="1">
        <w:r w:rsidRPr="00714D0A">
          <w:rPr>
            <w:rStyle w:val="Hyperlink"/>
            <w:rFonts w:ascii="Times New Roman" w:eastAsia="SimSun" w:hAnsi="Times New Roman" w:cs="Times New Roman"/>
            <w:sz w:val="24"/>
            <w:szCs w:val="24"/>
            <w:lang w:eastAsia="zh-CN" w:bidi="ar-SA"/>
          </w:rPr>
          <w:t>http://www.unesco.org/education/wef/countryreports/thailand/contents.html</w:t>
        </w:r>
      </w:hyperlink>
    </w:p>
    <w:p w14:paraId="4014B38E" w14:textId="77777777" w:rsidR="00C338EE" w:rsidRPr="00270A75" w:rsidRDefault="00C338EE" w:rsidP="00C338EE">
      <w:pPr>
        <w:spacing w:before="240" w:after="120" w:line="240" w:lineRule="auto"/>
        <w:ind w:left="357" w:hanging="357"/>
        <w:rPr>
          <w:rFonts w:ascii="Times New Roman" w:eastAsia="SimSun" w:hAnsi="Times New Roman" w:cs="Times New Roman"/>
          <w:sz w:val="24"/>
          <w:szCs w:val="24"/>
          <w:lang w:eastAsia="zh-CN" w:bidi="ar-SA"/>
        </w:rPr>
      </w:pPr>
      <w:r w:rsidRPr="00270A75">
        <w:rPr>
          <w:rFonts w:ascii="Times New Roman" w:eastAsia="SimSun" w:hAnsi="Times New Roman" w:cs="Times New Roman"/>
          <w:sz w:val="24"/>
          <w:szCs w:val="24"/>
          <w:lang w:eastAsia="zh-CN" w:bidi="ar-SA"/>
        </w:rPr>
        <w:t>United Nation</w:t>
      </w:r>
      <w:r w:rsidR="001027CA" w:rsidRPr="00270A75">
        <w:rPr>
          <w:rFonts w:ascii="Times New Roman" w:eastAsia="SimSun" w:hAnsi="Times New Roman" w:cs="Times New Roman"/>
          <w:sz w:val="24"/>
          <w:szCs w:val="24"/>
          <w:lang w:eastAsia="zh-CN" w:bidi="ar-SA"/>
        </w:rPr>
        <w:t>s Population Fund (UNFPA) and National Economic and Social Development Board</w:t>
      </w:r>
      <w:r w:rsidR="00456104">
        <w:rPr>
          <w:rFonts w:ascii="Times New Roman" w:eastAsia="SimSun" w:hAnsi="Times New Roman" w:cs="Times New Roman"/>
          <w:sz w:val="24"/>
          <w:szCs w:val="24"/>
          <w:lang w:eastAsia="zh-CN" w:bidi="ar-SA"/>
        </w:rPr>
        <w:t xml:space="preserve">. </w:t>
      </w:r>
      <w:r w:rsidR="001027CA" w:rsidRPr="00270A75">
        <w:rPr>
          <w:rFonts w:ascii="Times New Roman" w:eastAsia="SimSun" w:hAnsi="Times New Roman" w:cs="Times New Roman"/>
          <w:sz w:val="24"/>
          <w:szCs w:val="24"/>
          <w:lang w:eastAsia="zh-CN" w:bidi="ar-SA"/>
        </w:rPr>
        <w:t xml:space="preserve">2011. </w:t>
      </w:r>
      <w:r w:rsidR="001027CA" w:rsidRPr="00270A75">
        <w:rPr>
          <w:rFonts w:ascii="Times New Roman" w:eastAsia="SimSun" w:hAnsi="Times New Roman" w:cs="Times New Roman"/>
          <w:i/>
          <w:iCs/>
          <w:sz w:val="24"/>
          <w:szCs w:val="24"/>
          <w:lang w:eastAsia="zh-CN" w:bidi="ar-SA"/>
        </w:rPr>
        <w:t>Impact of Demographic Change in Thailand.</w:t>
      </w:r>
      <w:r w:rsidR="001027CA" w:rsidRPr="00270A75">
        <w:rPr>
          <w:rFonts w:ascii="Times New Roman" w:eastAsia="SimSun" w:hAnsi="Times New Roman" w:cs="Times New Roman"/>
          <w:sz w:val="24"/>
          <w:szCs w:val="24"/>
          <w:lang w:eastAsia="zh-CN" w:bidi="ar-SA"/>
        </w:rPr>
        <w:t xml:space="preserve"> Bangkok: UNFPA.</w:t>
      </w:r>
    </w:p>
    <w:p w14:paraId="75392BB8" w14:textId="77777777" w:rsidR="006520F4" w:rsidRPr="006520F4" w:rsidRDefault="006520F4" w:rsidP="006520F4">
      <w:pPr>
        <w:spacing w:before="240" w:after="120"/>
        <w:ind w:left="360" w:hanging="360"/>
        <w:rPr>
          <w:rFonts w:ascii="Times New Roman" w:hAnsi="Times New Roman" w:cs="Times New Roman"/>
          <w:sz w:val="24"/>
          <w:szCs w:val="24"/>
        </w:rPr>
      </w:pPr>
      <w:r w:rsidRPr="006520F4">
        <w:rPr>
          <w:rFonts w:ascii="Times New Roman" w:hAnsi="Times New Roman" w:cs="Times New Roman"/>
          <w:sz w:val="24"/>
          <w:szCs w:val="24"/>
        </w:rPr>
        <w:t xml:space="preserve">World Bank. 1993. </w:t>
      </w:r>
      <w:r w:rsidRPr="006520F4">
        <w:rPr>
          <w:rFonts w:ascii="Times New Roman" w:hAnsi="Times New Roman" w:cs="Times New Roman"/>
          <w:i/>
          <w:iCs/>
          <w:sz w:val="24"/>
          <w:szCs w:val="24"/>
        </w:rPr>
        <w:t>The East Asian Miracle: Economic Growth and Public Policy</w:t>
      </w:r>
      <w:r w:rsidRPr="006520F4">
        <w:rPr>
          <w:rFonts w:ascii="Times New Roman" w:hAnsi="Times New Roman" w:cs="Times New Roman"/>
          <w:sz w:val="24"/>
          <w:szCs w:val="24"/>
        </w:rPr>
        <w:t>. New York: Oxford University Press.</w:t>
      </w:r>
    </w:p>
    <w:p w14:paraId="2D4F2995" w14:textId="77777777" w:rsidR="001027CA" w:rsidRPr="00270A75" w:rsidRDefault="001027CA" w:rsidP="00C338EE">
      <w:pPr>
        <w:spacing w:before="240" w:after="120" w:line="240" w:lineRule="auto"/>
        <w:ind w:left="357" w:hanging="357"/>
        <w:rPr>
          <w:rFonts w:ascii="Times New Roman" w:eastAsia="SimSun" w:hAnsi="Times New Roman" w:cs="Times New Roman"/>
          <w:sz w:val="24"/>
          <w:szCs w:val="24"/>
          <w:lang w:eastAsia="zh-CN" w:bidi="ar-SA"/>
        </w:rPr>
      </w:pPr>
    </w:p>
    <w:sectPr w:rsidR="001027CA" w:rsidRPr="00270A75" w:rsidSect="0051038B">
      <w:footerReference w:type="default" r:id="rId42"/>
      <w:type w:val="continuous"/>
      <w:pgSz w:w="12240" w:h="15840" w:code="1"/>
      <w:pgMar w:top="1440" w:right="1440" w:bottom="1440" w:left="1440" w:header="720" w:footer="720" w:gutter="0"/>
      <w:cols w:space="720"/>
      <w:titlePg/>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CC786F" w14:textId="77777777" w:rsidR="0044527B" w:rsidRDefault="0044527B" w:rsidP="00271EDC">
      <w:pPr>
        <w:spacing w:after="0" w:line="240" w:lineRule="auto"/>
      </w:pPr>
      <w:r>
        <w:separator/>
      </w:r>
    </w:p>
  </w:endnote>
  <w:endnote w:type="continuationSeparator" w:id="0">
    <w:p w14:paraId="65DA23D4" w14:textId="77777777" w:rsidR="0044527B" w:rsidRDefault="0044527B" w:rsidP="00271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SarabunPSK">
    <w:altName w:val="Arial Unicode MS"/>
    <w:charset w:val="00"/>
    <w:family w:val="swiss"/>
    <w:pitch w:val="variable"/>
    <w:sig w:usb0="00000000" w:usb1="5000205A" w:usb2="00000000" w:usb3="00000000" w:csb0="00010183"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7941428"/>
      <w:docPartObj>
        <w:docPartGallery w:val="Page Numbers (Bottom of Page)"/>
        <w:docPartUnique/>
      </w:docPartObj>
    </w:sdtPr>
    <w:sdtEndPr>
      <w:rPr>
        <w:rFonts w:ascii="Times New Roman" w:hAnsi="Times New Roman" w:cs="Times New Roman"/>
        <w:sz w:val="22"/>
        <w:szCs w:val="22"/>
      </w:rPr>
    </w:sdtEndPr>
    <w:sdtContent>
      <w:p w14:paraId="65C1F211" w14:textId="77777777" w:rsidR="00196088" w:rsidRPr="00271EDC" w:rsidRDefault="00196088">
        <w:pPr>
          <w:pStyle w:val="Footer"/>
          <w:jc w:val="right"/>
          <w:rPr>
            <w:rFonts w:ascii="Times New Roman" w:hAnsi="Times New Roman" w:cs="Times New Roman"/>
            <w:sz w:val="22"/>
            <w:szCs w:val="22"/>
          </w:rPr>
        </w:pPr>
        <w:r w:rsidRPr="00271EDC">
          <w:rPr>
            <w:rFonts w:ascii="Times New Roman" w:hAnsi="Times New Roman" w:cs="Times New Roman"/>
            <w:sz w:val="22"/>
            <w:szCs w:val="22"/>
          </w:rPr>
          <w:fldChar w:fldCharType="begin"/>
        </w:r>
        <w:r w:rsidRPr="00271EDC">
          <w:rPr>
            <w:rFonts w:ascii="Times New Roman" w:hAnsi="Times New Roman" w:cs="Times New Roman"/>
            <w:sz w:val="22"/>
            <w:szCs w:val="22"/>
          </w:rPr>
          <w:instrText xml:space="preserve"> PAGE   \* MERGEFORMAT </w:instrText>
        </w:r>
        <w:r w:rsidRPr="00271EDC">
          <w:rPr>
            <w:rFonts w:ascii="Times New Roman" w:hAnsi="Times New Roman" w:cs="Times New Roman"/>
            <w:sz w:val="22"/>
            <w:szCs w:val="22"/>
          </w:rPr>
          <w:fldChar w:fldCharType="separate"/>
        </w:r>
        <w:r w:rsidR="001B50A8">
          <w:rPr>
            <w:rFonts w:ascii="Times New Roman" w:hAnsi="Times New Roman" w:cs="Times New Roman"/>
            <w:noProof/>
            <w:sz w:val="22"/>
            <w:szCs w:val="22"/>
          </w:rPr>
          <w:t>2</w:t>
        </w:r>
        <w:r w:rsidRPr="00271EDC">
          <w:rPr>
            <w:rFonts w:ascii="Times New Roman" w:hAnsi="Times New Roman" w:cs="Times New Roman"/>
            <w:noProof/>
            <w:sz w:val="22"/>
            <w:szCs w:val="22"/>
          </w:rPr>
          <w:fldChar w:fldCharType="end"/>
        </w:r>
      </w:p>
    </w:sdtContent>
  </w:sdt>
  <w:p w14:paraId="5C706119" w14:textId="77777777" w:rsidR="00196088" w:rsidRDefault="001960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0E3010" w14:textId="77777777" w:rsidR="0044527B" w:rsidRDefault="0044527B" w:rsidP="00271EDC">
      <w:pPr>
        <w:spacing w:after="0" w:line="240" w:lineRule="auto"/>
      </w:pPr>
      <w:r>
        <w:separator/>
      </w:r>
    </w:p>
  </w:footnote>
  <w:footnote w:type="continuationSeparator" w:id="0">
    <w:p w14:paraId="46A22619" w14:textId="77777777" w:rsidR="0044527B" w:rsidRDefault="0044527B" w:rsidP="00271EDC">
      <w:pPr>
        <w:spacing w:after="0" w:line="240" w:lineRule="auto"/>
      </w:pPr>
      <w:r>
        <w:continuationSeparator/>
      </w:r>
    </w:p>
  </w:footnote>
  <w:footnote w:id="1">
    <w:p w14:paraId="762559E8" w14:textId="77777777" w:rsidR="00196088" w:rsidRPr="00FB6818" w:rsidRDefault="00196088">
      <w:pPr>
        <w:pStyle w:val="FootnoteText"/>
        <w:rPr>
          <w:szCs w:val="20"/>
        </w:rPr>
      </w:pPr>
      <w:r>
        <w:rPr>
          <w:rStyle w:val="FootnoteReference"/>
        </w:rPr>
        <w:footnoteRef/>
      </w:r>
      <w:r>
        <w:t xml:space="preserve"> </w:t>
      </w:r>
      <w:r w:rsidRPr="00FB6818">
        <w:rPr>
          <w:rFonts w:ascii="Times New Roman" w:hAnsi="Times New Roman" w:cs="Times New Roman"/>
          <w:szCs w:val="20"/>
          <w:lang w:eastAsia="ko-KR"/>
        </w:rPr>
        <w:t>The Office of the National Economic and Social Development Board, Thailand</w:t>
      </w:r>
    </w:p>
  </w:footnote>
  <w:footnote w:id="2">
    <w:p w14:paraId="11F70E19" w14:textId="77777777" w:rsidR="00196088" w:rsidRDefault="00196088" w:rsidP="00FB6818">
      <w:pPr>
        <w:adjustRightInd w:val="0"/>
      </w:pPr>
      <w:r w:rsidRPr="00FB6818">
        <w:rPr>
          <w:rStyle w:val="FootnoteReference"/>
          <w:sz w:val="20"/>
          <w:szCs w:val="20"/>
        </w:rPr>
        <w:footnoteRef/>
      </w:r>
      <w:r w:rsidRPr="00FB6818">
        <w:rPr>
          <w:sz w:val="20"/>
          <w:szCs w:val="20"/>
        </w:rPr>
        <w:t xml:space="preserve"> </w:t>
      </w:r>
      <w:r w:rsidRPr="00FB6818">
        <w:rPr>
          <w:rFonts w:ascii="Times New Roman" w:hAnsi="Times New Roman" w:cs="Times New Roman"/>
          <w:sz w:val="20"/>
          <w:szCs w:val="20"/>
          <w:lang w:eastAsia="ko-KR"/>
        </w:rPr>
        <w:t xml:space="preserve">Corresponding author. University of Hawaii at Manoa and East West Center. 2424 Maile Way, Honolulu, HI 96822, USA. </w:t>
      </w:r>
      <w:hyperlink r:id="rId1" w:history="1">
        <w:r w:rsidRPr="00FB6818">
          <w:rPr>
            <w:rStyle w:val="Hyperlink"/>
            <w:rFonts w:ascii="Times New Roman" w:hAnsi="Times New Roman" w:cs="Times New Roman"/>
            <w:sz w:val="20"/>
            <w:szCs w:val="20"/>
            <w:lang w:eastAsia="ko-KR"/>
          </w:rPr>
          <w:t>Leesang@hawaii.edu</w:t>
        </w:r>
      </w:hyperlink>
    </w:p>
  </w:footnote>
  <w:footnote w:id="3">
    <w:p w14:paraId="606C8214" w14:textId="2CD4F572" w:rsidR="00FF779D" w:rsidRPr="00135F1C" w:rsidRDefault="00FF779D" w:rsidP="00FF779D">
      <w:pPr>
        <w:pStyle w:val="FootnoteText"/>
        <w:rPr>
          <w:rFonts w:ascii="Times New Roman" w:hAnsi="Times New Roman" w:cs="Times New Roman"/>
        </w:rPr>
      </w:pPr>
      <w:r>
        <w:rPr>
          <w:rStyle w:val="FootnoteReference"/>
        </w:rPr>
        <w:footnoteRef/>
      </w:r>
      <w:r>
        <w:t xml:space="preserve"> </w:t>
      </w:r>
      <w:r w:rsidRPr="00135F1C">
        <w:rPr>
          <w:rFonts w:ascii="Times New Roman" w:hAnsi="Times New Roman" w:cs="Times New Roman"/>
        </w:rPr>
        <w:t>Predetermined inflows are labor income, public transfer inflows, and public asset income. Predetermined outflows are public consumption, public transfer outflows, and public saving.</w:t>
      </w:r>
      <w:r w:rsidR="000160DC" w:rsidRPr="000160DC">
        <w:rPr>
          <w:rFonts w:ascii="Times New Roman" w:hAnsi="Times New Roman" w:cs="Times New Roman"/>
        </w:rPr>
        <w:t xml:space="preserve"> </w:t>
      </w:r>
      <w:r w:rsidRPr="00135F1C">
        <w:rPr>
          <w:rFonts w:ascii="Times New Roman" w:hAnsi="Times New Roman" w:cs="Times New Roman"/>
        </w:rPr>
        <w:t xml:space="preserve">Intra-household transfer inflows will not equal outflows in the simulation because the population data used in the model will have a different age distribution that the survey population used to construct intra-household transfers. Equality is imposed for both consumption and saving </w:t>
      </w:r>
      <w:r w:rsidR="000160DC">
        <w:rPr>
          <w:rFonts w:ascii="Times New Roman" w:hAnsi="Times New Roman" w:cs="Times New Roman"/>
        </w:rPr>
        <w:t>of</w:t>
      </w:r>
      <w:r w:rsidRPr="00135F1C">
        <w:rPr>
          <w:rFonts w:ascii="Times New Roman" w:hAnsi="Times New Roman" w:cs="Times New Roman"/>
        </w:rPr>
        <w:t xml:space="preserve"> intra-household transfers.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406BE"/>
    <w:multiLevelType w:val="hybridMultilevel"/>
    <w:tmpl w:val="51EACEF0"/>
    <w:lvl w:ilvl="0" w:tplc="3018767E">
      <w:start w:val="4"/>
      <w:numFmt w:val="upperRoman"/>
      <w:lvlText w:val="%1&gt;"/>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40F6A9E"/>
    <w:multiLevelType w:val="hybridMultilevel"/>
    <w:tmpl w:val="35C89B26"/>
    <w:lvl w:ilvl="0" w:tplc="AE92A63E">
      <w:start w:val="4"/>
      <w:numFmt w:val="upp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353F06"/>
    <w:multiLevelType w:val="hybridMultilevel"/>
    <w:tmpl w:val="02F26E8E"/>
    <w:lvl w:ilvl="0" w:tplc="8F682F1E">
      <w:start w:val="4"/>
      <w:numFmt w:val="upp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853829"/>
    <w:multiLevelType w:val="hybridMultilevel"/>
    <w:tmpl w:val="76168EC0"/>
    <w:lvl w:ilvl="0" w:tplc="575280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6BF58F2"/>
    <w:multiLevelType w:val="hybridMultilevel"/>
    <w:tmpl w:val="FF146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381BB5"/>
    <w:multiLevelType w:val="hybridMultilevel"/>
    <w:tmpl w:val="80547B78"/>
    <w:lvl w:ilvl="0" w:tplc="D3CE195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56FC472D"/>
    <w:multiLevelType w:val="hybridMultilevel"/>
    <w:tmpl w:val="70E2E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8EB4F91"/>
    <w:multiLevelType w:val="hybridMultilevel"/>
    <w:tmpl w:val="79E85348"/>
    <w:lvl w:ilvl="0" w:tplc="4EF8D90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3"/>
  </w:num>
  <w:num w:numId="2">
    <w:abstractNumId w:val="5"/>
  </w:num>
  <w:num w:numId="3">
    <w:abstractNumId w:val="7"/>
  </w:num>
  <w:num w:numId="4">
    <w:abstractNumId w:val="6"/>
  </w:num>
  <w:num w:numId="5">
    <w:abstractNumId w:val="1"/>
  </w:num>
  <w:num w:numId="6">
    <w:abstractNumId w:val="2"/>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60"/>
  <w:drawingGridVerticalSpacing w:val="435"/>
  <w:displayHorizontalDrawingGridEvery w:val="2"/>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84A"/>
    <w:rsid w:val="00000EC8"/>
    <w:rsid w:val="000011B4"/>
    <w:rsid w:val="0000496B"/>
    <w:rsid w:val="000115C8"/>
    <w:rsid w:val="00015EF8"/>
    <w:rsid w:val="000160DC"/>
    <w:rsid w:val="000173A7"/>
    <w:rsid w:val="000205D5"/>
    <w:rsid w:val="0003351E"/>
    <w:rsid w:val="00040174"/>
    <w:rsid w:val="00061B63"/>
    <w:rsid w:val="000621B5"/>
    <w:rsid w:val="000646E8"/>
    <w:rsid w:val="000819A1"/>
    <w:rsid w:val="00084ABF"/>
    <w:rsid w:val="00086E85"/>
    <w:rsid w:val="000912EA"/>
    <w:rsid w:val="00096271"/>
    <w:rsid w:val="000964B4"/>
    <w:rsid w:val="000B0B1D"/>
    <w:rsid w:val="000C0A22"/>
    <w:rsid w:val="000C5980"/>
    <w:rsid w:val="000D137E"/>
    <w:rsid w:val="000D28BF"/>
    <w:rsid w:val="000D5E7C"/>
    <w:rsid w:val="000F47EB"/>
    <w:rsid w:val="001027CA"/>
    <w:rsid w:val="00111E1D"/>
    <w:rsid w:val="001137B3"/>
    <w:rsid w:val="00115478"/>
    <w:rsid w:val="00122F53"/>
    <w:rsid w:val="001244C7"/>
    <w:rsid w:val="0013227B"/>
    <w:rsid w:val="00132702"/>
    <w:rsid w:val="00135F1C"/>
    <w:rsid w:val="00140DBC"/>
    <w:rsid w:val="00150561"/>
    <w:rsid w:val="001544B0"/>
    <w:rsid w:val="00157666"/>
    <w:rsid w:val="00165682"/>
    <w:rsid w:val="00166030"/>
    <w:rsid w:val="00167908"/>
    <w:rsid w:val="001848DA"/>
    <w:rsid w:val="00193BEA"/>
    <w:rsid w:val="00196088"/>
    <w:rsid w:val="001A0090"/>
    <w:rsid w:val="001B148E"/>
    <w:rsid w:val="001B50A8"/>
    <w:rsid w:val="001B69CE"/>
    <w:rsid w:val="001D3054"/>
    <w:rsid w:val="001D30A6"/>
    <w:rsid w:val="001D4F8C"/>
    <w:rsid w:val="001D56DF"/>
    <w:rsid w:val="001D6BEE"/>
    <w:rsid w:val="001E2710"/>
    <w:rsid w:val="001F4293"/>
    <w:rsid w:val="0021666E"/>
    <w:rsid w:val="00220DE7"/>
    <w:rsid w:val="002215D4"/>
    <w:rsid w:val="00252283"/>
    <w:rsid w:val="00257768"/>
    <w:rsid w:val="00261A63"/>
    <w:rsid w:val="00266F08"/>
    <w:rsid w:val="00270A75"/>
    <w:rsid w:val="00271EDC"/>
    <w:rsid w:val="00272352"/>
    <w:rsid w:val="00280278"/>
    <w:rsid w:val="0028573F"/>
    <w:rsid w:val="00290911"/>
    <w:rsid w:val="00290AA2"/>
    <w:rsid w:val="00291E40"/>
    <w:rsid w:val="002A1FCC"/>
    <w:rsid w:val="002A4DCC"/>
    <w:rsid w:val="002B22C2"/>
    <w:rsid w:val="002C3467"/>
    <w:rsid w:val="002C5B66"/>
    <w:rsid w:val="002C672E"/>
    <w:rsid w:val="002D60C6"/>
    <w:rsid w:val="002E0330"/>
    <w:rsid w:val="002E10E3"/>
    <w:rsid w:val="002E3E54"/>
    <w:rsid w:val="002E42BE"/>
    <w:rsid w:val="002E790F"/>
    <w:rsid w:val="002F11C5"/>
    <w:rsid w:val="002F1E91"/>
    <w:rsid w:val="002F50B4"/>
    <w:rsid w:val="00316DEE"/>
    <w:rsid w:val="0032027A"/>
    <w:rsid w:val="00320D51"/>
    <w:rsid w:val="003245C5"/>
    <w:rsid w:val="00324EA2"/>
    <w:rsid w:val="0032508A"/>
    <w:rsid w:val="00326B49"/>
    <w:rsid w:val="0034429D"/>
    <w:rsid w:val="00344C88"/>
    <w:rsid w:val="00356A72"/>
    <w:rsid w:val="003602E6"/>
    <w:rsid w:val="003711DA"/>
    <w:rsid w:val="003805D4"/>
    <w:rsid w:val="003845F9"/>
    <w:rsid w:val="00384902"/>
    <w:rsid w:val="00386512"/>
    <w:rsid w:val="003911F2"/>
    <w:rsid w:val="00391506"/>
    <w:rsid w:val="003972F8"/>
    <w:rsid w:val="003A3D7E"/>
    <w:rsid w:val="003A4895"/>
    <w:rsid w:val="003A5ACB"/>
    <w:rsid w:val="003A6FD2"/>
    <w:rsid w:val="003B280D"/>
    <w:rsid w:val="003B2FF6"/>
    <w:rsid w:val="003C4E56"/>
    <w:rsid w:val="003C62A1"/>
    <w:rsid w:val="003E3E3C"/>
    <w:rsid w:val="003E4C3F"/>
    <w:rsid w:val="003E7D74"/>
    <w:rsid w:val="00400F0B"/>
    <w:rsid w:val="004074B8"/>
    <w:rsid w:val="0042384A"/>
    <w:rsid w:val="0043464A"/>
    <w:rsid w:val="00442C93"/>
    <w:rsid w:val="0044527B"/>
    <w:rsid w:val="00447F35"/>
    <w:rsid w:val="00451BD4"/>
    <w:rsid w:val="00454EA8"/>
    <w:rsid w:val="00456104"/>
    <w:rsid w:val="004567F9"/>
    <w:rsid w:val="00456DFC"/>
    <w:rsid w:val="00461634"/>
    <w:rsid w:val="0046390E"/>
    <w:rsid w:val="00470096"/>
    <w:rsid w:val="004735D0"/>
    <w:rsid w:val="00475C58"/>
    <w:rsid w:val="004760D5"/>
    <w:rsid w:val="004815BC"/>
    <w:rsid w:val="00485B8F"/>
    <w:rsid w:val="00486A62"/>
    <w:rsid w:val="004941B1"/>
    <w:rsid w:val="0049534B"/>
    <w:rsid w:val="004A048B"/>
    <w:rsid w:val="004B1873"/>
    <w:rsid w:val="004B3D73"/>
    <w:rsid w:val="004C5BC7"/>
    <w:rsid w:val="004D3656"/>
    <w:rsid w:val="004D43B4"/>
    <w:rsid w:val="004E559A"/>
    <w:rsid w:val="004E6992"/>
    <w:rsid w:val="004F423E"/>
    <w:rsid w:val="004F495D"/>
    <w:rsid w:val="005031EC"/>
    <w:rsid w:val="0051038B"/>
    <w:rsid w:val="00516C41"/>
    <w:rsid w:val="00524B97"/>
    <w:rsid w:val="0052571B"/>
    <w:rsid w:val="005305C6"/>
    <w:rsid w:val="005324FF"/>
    <w:rsid w:val="00541CBF"/>
    <w:rsid w:val="00543159"/>
    <w:rsid w:val="00544FFC"/>
    <w:rsid w:val="00547AB1"/>
    <w:rsid w:val="00555B1E"/>
    <w:rsid w:val="00564C6B"/>
    <w:rsid w:val="00565523"/>
    <w:rsid w:val="00575C0C"/>
    <w:rsid w:val="005767CE"/>
    <w:rsid w:val="0058191B"/>
    <w:rsid w:val="00591723"/>
    <w:rsid w:val="005A526C"/>
    <w:rsid w:val="005A6C76"/>
    <w:rsid w:val="005B146F"/>
    <w:rsid w:val="005B2653"/>
    <w:rsid w:val="005B45ED"/>
    <w:rsid w:val="005C5153"/>
    <w:rsid w:val="005C5F2C"/>
    <w:rsid w:val="005D66F3"/>
    <w:rsid w:val="005F20C6"/>
    <w:rsid w:val="005F3B6D"/>
    <w:rsid w:val="00601106"/>
    <w:rsid w:val="0060551A"/>
    <w:rsid w:val="00613FA1"/>
    <w:rsid w:val="0061421C"/>
    <w:rsid w:val="0061501A"/>
    <w:rsid w:val="006159C3"/>
    <w:rsid w:val="00634FEE"/>
    <w:rsid w:val="00642BE7"/>
    <w:rsid w:val="006517F1"/>
    <w:rsid w:val="006520F4"/>
    <w:rsid w:val="006563A1"/>
    <w:rsid w:val="00660CC5"/>
    <w:rsid w:val="00667E0F"/>
    <w:rsid w:val="0067157C"/>
    <w:rsid w:val="00672C39"/>
    <w:rsid w:val="00672E98"/>
    <w:rsid w:val="006838B9"/>
    <w:rsid w:val="00684DE4"/>
    <w:rsid w:val="0069120C"/>
    <w:rsid w:val="00696453"/>
    <w:rsid w:val="00697F5E"/>
    <w:rsid w:val="006A21DD"/>
    <w:rsid w:val="006A469D"/>
    <w:rsid w:val="006B039D"/>
    <w:rsid w:val="006B067E"/>
    <w:rsid w:val="006C1E61"/>
    <w:rsid w:val="006C3F6B"/>
    <w:rsid w:val="006C7D83"/>
    <w:rsid w:val="006D4DA9"/>
    <w:rsid w:val="006D6149"/>
    <w:rsid w:val="006E6965"/>
    <w:rsid w:val="006E7098"/>
    <w:rsid w:val="006E73B1"/>
    <w:rsid w:val="006F1F22"/>
    <w:rsid w:val="0070540B"/>
    <w:rsid w:val="00705A91"/>
    <w:rsid w:val="00723E39"/>
    <w:rsid w:val="00725C3C"/>
    <w:rsid w:val="00726482"/>
    <w:rsid w:val="0072704E"/>
    <w:rsid w:val="007374A7"/>
    <w:rsid w:val="00741AAA"/>
    <w:rsid w:val="0075085C"/>
    <w:rsid w:val="00750BE6"/>
    <w:rsid w:val="00765436"/>
    <w:rsid w:val="00766482"/>
    <w:rsid w:val="007754D4"/>
    <w:rsid w:val="00783C6E"/>
    <w:rsid w:val="00785C64"/>
    <w:rsid w:val="00792DCE"/>
    <w:rsid w:val="007A162E"/>
    <w:rsid w:val="007A2165"/>
    <w:rsid w:val="007A3A62"/>
    <w:rsid w:val="007B3F67"/>
    <w:rsid w:val="007B4EB8"/>
    <w:rsid w:val="007D0C1F"/>
    <w:rsid w:val="007D3AAD"/>
    <w:rsid w:val="007D6A73"/>
    <w:rsid w:val="007E021B"/>
    <w:rsid w:val="007E19CC"/>
    <w:rsid w:val="007E706D"/>
    <w:rsid w:val="00807A5E"/>
    <w:rsid w:val="00810BDB"/>
    <w:rsid w:val="00822111"/>
    <w:rsid w:val="008344C3"/>
    <w:rsid w:val="00850E8E"/>
    <w:rsid w:val="00855101"/>
    <w:rsid w:val="00857922"/>
    <w:rsid w:val="00885ADB"/>
    <w:rsid w:val="0089134D"/>
    <w:rsid w:val="00895DA5"/>
    <w:rsid w:val="008B2094"/>
    <w:rsid w:val="008B3D27"/>
    <w:rsid w:val="008C354F"/>
    <w:rsid w:val="008C5A42"/>
    <w:rsid w:val="008C7402"/>
    <w:rsid w:val="008C7DA8"/>
    <w:rsid w:val="008D04A6"/>
    <w:rsid w:val="008E0614"/>
    <w:rsid w:val="008F14D9"/>
    <w:rsid w:val="008F1E72"/>
    <w:rsid w:val="008F3A68"/>
    <w:rsid w:val="008F7DFA"/>
    <w:rsid w:val="009020F2"/>
    <w:rsid w:val="0090519B"/>
    <w:rsid w:val="009118F5"/>
    <w:rsid w:val="00913DB2"/>
    <w:rsid w:val="009142E8"/>
    <w:rsid w:val="009217EF"/>
    <w:rsid w:val="00925182"/>
    <w:rsid w:val="0092675B"/>
    <w:rsid w:val="00927DC3"/>
    <w:rsid w:val="009374E2"/>
    <w:rsid w:val="009379C3"/>
    <w:rsid w:val="00950956"/>
    <w:rsid w:val="009579E1"/>
    <w:rsid w:val="00960713"/>
    <w:rsid w:val="009741D4"/>
    <w:rsid w:val="009773DC"/>
    <w:rsid w:val="0098300C"/>
    <w:rsid w:val="00997E48"/>
    <w:rsid w:val="009A420C"/>
    <w:rsid w:val="009B5D08"/>
    <w:rsid w:val="009C088E"/>
    <w:rsid w:val="009C143B"/>
    <w:rsid w:val="009C3A2A"/>
    <w:rsid w:val="009C7CC8"/>
    <w:rsid w:val="009D5F37"/>
    <w:rsid w:val="009E0C3F"/>
    <w:rsid w:val="009E49AD"/>
    <w:rsid w:val="009E52ED"/>
    <w:rsid w:val="009E6E21"/>
    <w:rsid w:val="009E72D4"/>
    <w:rsid w:val="009E7971"/>
    <w:rsid w:val="009F19AB"/>
    <w:rsid w:val="009F5C0E"/>
    <w:rsid w:val="009F6444"/>
    <w:rsid w:val="00A052D6"/>
    <w:rsid w:val="00A1192B"/>
    <w:rsid w:val="00A11C48"/>
    <w:rsid w:val="00A13720"/>
    <w:rsid w:val="00A16EBB"/>
    <w:rsid w:val="00A178C7"/>
    <w:rsid w:val="00A17E9C"/>
    <w:rsid w:val="00A20140"/>
    <w:rsid w:val="00A204B5"/>
    <w:rsid w:val="00A24EFB"/>
    <w:rsid w:val="00A321F9"/>
    <w:rsid w:val="00A622C0"/>
    <w:rsid w:val="00A63B19"/>
    <w:rsid w:val="00A70647"/>
    <w:rsid w:val="00A71B0B"/>
    <w:rsid w:val="00A73E6D"/>
    <w:rsid w:val="00A752AA"/>
    <w:rsid w:val="00A87B54"/>
    <w:rsid w:val="00A90E47"/>
    <w:rsid w:val="00A91252"/>
    <w:rsid w:val="00A92C81"/>
    <w:rsid w:val="00A95DB1"/>
    <w:rsid w:val="00AA1815"/>
    <w:rsid w:val="00AA3806"/>
    <w:rsid w:val="00AA3BF0"/>
    <w:rsid w:val="00AB1010"/>
    <w:rsid w:val="00AB4B01"/>
    <w:rsid w:val="00AB559A"/>
    <w:rsid w:val="00AB6965"/>
    <w:rsid w:val="00AC1B3A"/>
    <w:rsid w:val="00AC22C4"/>
    <w:rsid w:val="00AC2A4F"/>
    <w:rsid w:val="00AC43F1"/>
    <w:rsid w:val="00AC74CB"/>
    <w:rsid w:val="00AD185C"/>
    <w:rsid w:val="00AD5A13"/>
    <w:rsid w:val="00AD7DD5"/>
    <w:rsid w:val="00AE1B74"/>
    <w:rsid w:val="00AF2F2B"/>
    <w:rsid w:val="00AF5E36"/>
    <w:rsid w:val="00B0041F"/>
    <w:rsid w:val="00B065AF"/>
    <w:rsid w:val="00B17C5D"/>
    <w:rsid w:val="00B2132D"/>
    <w:rsid w:val="00B30FB8"/>
    <w:rsid w:val="00B31A7B"/>
    <w:rsid w:val="00B47DD8"/>
    <w:rsid w:val="00B55BD8"/>
    <w:rsid w:val="00B80E8D"/>
    <w:rsid w:val="00B825F2"/>
    <w:rsid w:val="00B82D1F"/>
    <w:rsid w:val="00B9021E"/>
    <w:rsid w:val="00B90785"/>
    <w:rsid w:val="00B9141D"/>
    <w:rsid w:val="00B933CF"/>
    <w:rsid w:val="00BB109D"/>
    <w:rsid w:val="00BB5FAA"/>
    <w:rsid w:val="00BB697C"/>
    <w:rsid w:val="00BC1665"/>
    <w:rsid w:val="00BC6015"/>
    <w:rsid w:val="00BD3374"/>
    <w:rsid w:val="00BE2EE2"/>
    <w:rsid w:val="00BE7C9E"/>
    <w:rsid w:val="00BF5417"/>
    <w:rsid w:val="00BF6719"/>
    <w:rsid w:val="00C03C1E"/>
    <w:rsid w:val="00C043DC"/>
    <w:rsid w:val="00C102CA"/>
    <w:rsid w:val="00C10B37"/>
    <w:rsid w:val="00C13E72"/>
    <w:rsid w:val="00C21328"/>
    <w:rsid w:val="00C26AF7"/>
    <w:rsid w:val="00C338EE"/>
    <w:rsid w:val="00C34CAF"/>
    <w:rsid w:val="00C372F3"/>
    <w:rsid w:val="00C40006"/>
    <w:rsid w:val="00C51E1C"/>
    <w:rsid w:val="00C569D8"/>
    <w:rsid w:val="00C62B4B"/>
    <w:rsid w:val="00C636C6"/>
    <w:rsid w:val="00C64829"/>
    <w:rsid w:val="00C66296"/>
    <w:rsid w:val="00C67F78"/>
    <w:rsid w:val="00C701AB"/>
    <w:rsid w:val="00C73742"/>
    <w:rsid w:val="00C74224"/>
    <w:rsid w:val="00C760C5"/>
    <w:rsid w:val="00C77266"/>
    <w:rsid w:val="00C92E09"/>
    <w:rsid w:val="00C9482A"/>
    <w:rsid w:val="00CB4635"/>
    <w:rsid w:val="00CC6C43"/>
    <w:rsid w:val="00CE3FBA"/>
    <w:rsid w:val="00CE7212"/>
    <w:rsid w:val="00CF1A0B"/>
    <w:rsid w:val="00D0110C"/>
    <w:rsid w:val="00D12BFA"/>
    <w:rsid w:val="00D15BBF"/>
    <w:rsid w:val="00D207B7"/>
    <w:rsid w:val="00D30C43"/>
    <w:rsid w:val="00D42B56"/>
    <w:rsid w:val="00D46815"/>
    <w:rsid w:val="00D47645"/>
    <w:rsid w:val="00D5615D"/>
    <w:rsid w:val="00D61221"/>
    <w:rsid w:val="00D64FDE"/>
    <w:rsid w:val="00D94468"/>
    <w:rsid w:val="00DA30E0"/>
    <w:rsid w:val="00DB1AFB"/>
    <w:rsid w:val="00DB73CA"/>
    <w:rsid w:val="00DB7E26"/>
    <w:rsid w:val="00DC4C86"/>
    <w:rsid w:val="00DD1FF3"/>
    <w:rsid w:val="00DD32D0"/>
    <w:rsid w:val="00DE262E"/>
    <w:rsid w:val="00DF0457"/>
    <w:rsid w:val="00DF62C2"/>
    <w:rsid w:val="00DF7878"/>
    <w:rsid w:val="00E0630B"/>
    <w:rsid w:val="00E108DE"/>
    <w:rsid w:val="00E11FA2"/>
    <w:rsid w:val="00E16C8A"/>
    <w:rsid w:val="00E323A4"/>
    <w:rsid w:val="00E34CC7"/>
    <w:rsid w:val="00E37C08"/>
    <w:rsid w:val="00E41C7D"/>
    <w:rsid w:val="00E51C70"/>
    <w:rsid w:val="00E52F06"/>
    <w:rsid w:val="00E572F2"/>
    <w:rsid w:val="00E67368"/>
    <w:rsid w:val="00E75F32"/>
    <w:rsid w:val="00E76F67"/>
    <w:rsid w:val="00E7705E"/>
    <w:rsid w:val="00E8267D"/>
    <w:rsid w:val="00E856A3"/>
    <w:rsid w:val="00EA20C4"/>
    <w:rsid w:val="00EB2361"/>
    <w:rsid w:val="00ED2640"/>
    <w:rsid w:val="00ED2DFB"/>
    <w:rsid w:val="00EE6BCC"/>
    <w:rsid w:val="00EE79A0"/>
    <w:rsid w:val="00EF7991"/>
    <w:rsid w:val="00F022F3"/>
    <w:rsid w:val="00F03E95"/>
    <w:rsid w:val="00F0592D"/>
    <w:rsid w:val="00F06F17"/>
    <w:rsid w:val="00F12234"/>
    <w:rsid w:val="00F16CE1"/>
    <w:rsid w:val="00F21F7D"/>
    <w:rsid w:val="00F34849"/>
    <w:rsid w:val="00F54BD8"/>
    <w:rsid w:val="00F56162"/>
    <w:rsid w:val="00F625D3"/>
    <w:rsid w:val="00F720A9"/>
    <w:rsid w:val="00F84106"/>
    <w:rsid w:val="00F96F0C"/>
    <w:rsid w:val="00FA7F1E"/>
    <w:rsid w:val="00FB07EA"/>
    <w:rsid w:val="00FB0F8B"/>
    <w:rsid w:val="00FB5772"/>
    <w:rsid w:val="00FB6818"/>
    <w:rsid w:val="00FC1B67"/>
    <w:rsid w:val="00FC4103"/>
    <w:rsid w:val="00FC6938"/>
    <w:rsid w:val="00FD2012"/>
    <w:rsid w:val="00FF43BA"/>
    <w:rsid w:val="00FF60F2"/>
    <w:rsid w:val="00FF779D"/>
  </w:rsids>
  <m:mathPr>
    <m:mathFont m:val="Cambria Math"/>
    <m:brkBin m:val="before"/>
    <m:brkBinSub m:val="--"/>
    <m:smallFrac/>
    <m:dispDef/>
    <m:lMargin m:val="0"/>
    <m:rMargin m:val="0"/>
    <m:defJc m:val="centerGroup"/>
    <m:wrapIndent m:val="1440"/>
    <m:intLim m:val="subSup"/>
    <m:naryLim m:val="undOvr"/>
  </m:mathPr>
  <w:themeFontLang w:val="en-US" w:eastAsia="ko-KR"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34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 SarabunPSK" w:eastAsiaTheme="minorEastAsia" w:hAnsi="TH SarabunPSK" w:cs="TH SarabunPSK"/>
        <w:sz w:val="32"/>
        <w:szCs w:val="32"/>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6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3467"/>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2C3467"/>
    <w:rPr>
      <w:rFonts w:ascii="Tahoma" w:hAnsi="Tahoma" w:cs="Angsana New"/>
      <w:sz w:val="16"/>
      <w:szCs w:val="20"/>
    </w:rPr>
  </w:style>
  <w:style w:type="table" w:styleId="TableGrid">
    <w:name w:val="Table Grid"/>
    <w:basedOn w:val="TableNormal"/>
    <w:uiPriority w:val="39"/>
    <w:rsid w:val="002C34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1C70"/>
    <w:pPr>
      <w:ind w:left="720"/>
      <w:contextualSpacing/>
    </w:pPr>
    <w:rPr>
      <w:rFonts w:cs="Angsana New"/>
      <w:szCs w:val="40"/>
    </w:rPr>
  </w:style>
  <w:style w:type="paragraph" w:styleId="Header">
    <w:name w:val="header"/>
    <w:basedOn w:val="Normal"/>
    <w:link w:val="HeaderChar"/>
    <w:uiPriority w:val="99"/>
    <w:unhideWhenUsed/>
    <w:rsid w:val="00271EDC"/>
    <w:pPr>
      <w:tabs>
        <w:tab w:val="center" w:pos="4513"/>
        <w:tab w:val="right" w:pos="9026"/>
      </w:tabs>
      <w:spacing w:after="0" w:line="240" w:lineRule="auto"/>
    </w:pPr>
    <w:rPr>
      <w:rFonts w:cs="Angsana New"/>
      <w:szCs w:val="40"/>
    </w:rPr>
  </w:style>
  <w:style w:type="character" w:customStyle="1" w:styleId="HeaderChar">
    <w:name w:val="Header Char"/>
    <w:basedOn w:val="DefaultParagraphFont"/>
    <w:link w:val="Header"/>
    <w:uiPriority w:val="99"/>
    <w:rsid w:val="00271EDC"/>
    <w:rPr>
      <w:rFonts w:cs="Angsana New"/>
      <w:szCs w:val="40"/>
    </w:rPr>
  </w:style>
  <w:style w:type="paragraph" w:styleId="Footer">
    <w:name w:val="footer"/>
    <w:basedOn w:val="Normal"/>
    <w:link w:val="FooterChar"/>
    <w:uiPriority w:val="99"/>
    <w:unhideWhenUsed/>
    <w:rsid w:val="00271EDC"/>
    <w:pPr>
      <w:tabs>
        <w:tab w:val="center" w:pos="4513"/>
        <w:tab w:val="right" w:pos="9026"/>
      </w:tabs>
      <w:spacing w:after="0" w:line="240" w:lineRule="auto"/>
    </w:pPr>
    <w:rPr>
      <w:rFonts w:cs="Angsana New"/>
      <w:szCs w:val="40"/>
    </w:rPr>
  </w:style>
  <w:style w:type="character" w:customStyle="1" w:styleId="FooterChar">
    <w:name w:val="Footer Char"/>
    <w:basedOn w:val="DefaultParagraphFont"/>
    <w:link w:val="Footer"/>
    <w:uiPriority w:val="99"/>
    <w:rsid w:val="00271EDC"/>
    <w:rPr>
      <w:rFonts w:cs="Angsana New"/>
      <w:szCs w:val="40"/>
    </w:rPr>
  </w:style>
  <w:style w:type="character" w:styleId="Hyperlink">
    <w:name w:val="Hyperlink"/>
    <w:basedOn w:val="DefaultParagraphFont"/>
    <w:uiPriority w:val="99"/>
    <w:unhideWhenUsed/>
    <w:rsid w:val="00C338EE"/>
    <w:rPr>
      <w:color w:val="0563C1" w:themeColor="hyperlink"/>
      <w:u w:val="single"/>
    </w:rPr>
  </w:style>
  <w:style w:type="paragraph" w:styleId="FootnoteText">
    <w:name w:val="footnote text"/>
    <w:basedOn w:val="Normal"/>
    <w:link w:val="FootnoteTextChar"/>
    <w:uiPriority w:val="99"/>
    <w:semiHidden/>
    <w:unhideWhenUsed/>
    <w:rsid w:val="002A1FCC"/>
    <w:pPr>
      <w:spacing w:after="0" w:line="240" w:lineRule="auto"/>
    </w:pPr>
    <w:rPr>
      <w:rFonts w:cs="Angsana New"/>
      <w:sz w:val="20"/>
      <w:szCs w:val="25"/>
    </w:rPr>
  </w:style>
  <w:style w:type="character" w:customStyle="1" w:styleId="FootnoteTextChar">
    <w:name w:val="Footnote Text Char"/>
    <w:basedOn w:val="DefaultParagraphFont"/>
    <w:link w:val="FootnoteText"/>
    <w:uiPriority w:val="99"/>
    <w:semiHidden/>
    <w:rsid w:val="002A1FCC"/>
    <w:rPr>
      <w:rFonts w:cs="Angsana New"/>
      <w:sz w:val="20"/>
      <w:szCs w:val="25"/>
    </w:rPr>
  </w:style>
  <w:style w:type="character" w:styleId="FootnoteReference">
    <w:name w:val="footnote reference"/>
    <w:basedOn w:val="DefaultParagraphFont"/>
    <w:uiPriority w:val="99"/>
    <w:semiHidden/>
    <w:unhideWhenUsed/>
    <w:rsid w:val="002A1FCC"/>
    <w:rPr>
      <w:vertAlign w:val="superscript"/>
    </w:rPr>
  </w:style>
  <w:style w:type="character" w:styleId="CommentReference">
    <w:name w:val="annotation reference"/>
    <w:basedOn w:val="DefaultParagraphFont"/>
    <w:uiPriority w:val="99"/>
    <w:semiHidden/>
    <w:unhideWhenUsed/>
    <w:rsid w:val="000173A7"/>
    <w:rPr>
      <w:sz w:val="16"/>
      <w:szCs w:val="16"/>
    </w:rPr>
  </w:style>
  <w:style w:type="paragraph" w:styleId="CommentText">
    <w:name w:val="annotation text"/>
    <w:basedOn w:val="Normal"/>
    <w:link w:val="CommentTextChar"/>
    <w:uiPriority w:val="99"/>
    <w:semiHidden/>
    <w:unhideWhenUsed/>
    <w:rsid w:val="000173A7"/>
    <w:pPr>
      <w:spacing w:line="240" w:lineRule="auto"/>
    </w:pPr>
    <w:rPr>
      <w:rFonts w:cs="Angsana New"/>
      <w:sz w:val="20"/>
      <w:szCs w:val="25"/>
    </w:rPr>
  </w:style>
  <w:style w:type="character" w:customStyle="1" w:styleId="CommentTextChar">
    <w:name w:val="Comment Text Char"/>
    <w:basedOn w:val="DefaultParagraphFont"/>
    <w:link w:val="CommentText"/>
    <w:uiPriority w:val="99"/>
    <w:semiHidden/>
    <w:rsid w:val="000173A7"/>
    <w:rPr>
      <w:rFonts w:cs="Angsana New"/>
      <w:sz w:val="20"/>
      <w:szCs w:val="25"/>
    </w:rPr>
  </w:style>
  <w:style w:type="paragraph" w:styleId="CommentSubject">
    <w:name w:val="annotation subject"/>
    <w:basedOn w:val="CommentText"/>
    <w:next w:val="CommentText"/>
    <w:link w:val="CommentSubjectChar"/>
    <w:uiPriority w:val="99"/>
    <w:semiHidden/>
    <w:unhideWhenUsed/>
    <w:rsid w:val="000173A7"/>
    <w:rPr>
      <w:b/>
      <w:bCs/>
    </w:rPr>
  </w:style>
  <w:style w:type="character" w:customStyle="1" w:styleId="CommentSubjectChar">
    <w:name w:val="Comment Subject Char"/>
    <w:basedOn w:val="CommentTextChar"/>
    <w:link w:val="CommentSubject"/>
    <w:uiPriority w:val="99"/>
    <w:semiHidden/>
    <w:rsid w:val="000173A7"/>
    <w:rPr>
      <w:rFonts w:cs="Angsana New"/>
      <w:b/>
      <w:bCs/>
      <w:sz w:val="20"/>
      <w:szCs w:val="2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 SarabunPSK" w:eastAsiaTheme="minorEastAsia" w:hAnsi="TH SarabunPSK" w:cs="TH SarabunPSK"/>
        <w:sz w:val="32"/>
        <w:szCs w:val="32"/>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6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3467"/>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2C3467"/>
    <w:rPr>
      <w:rFonts w:ascii="Tahoma" w:hAnsi="Tahoma" w:cs="Angsana New"/>
      <w:sz w:val="16"/>
      <w:szCs w:val="20"/>
    </w:rPr>
  </w:style>
  <w:style w:type="table" w:styleId="TableGrid">
    <w:name w:val="Table Grid"/>
    <w:basedOn w:val="TableNormal"/>
    <w:uiPriority w:val="39"/>
    <w:rsid w:val="002C34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1C70"/>
    <w:pPr>
      <w:ind w:left="720"/>
      <w:contextualSpacing/>
    </w:pPr>
    <w:rPr>
      <w:rFonts w:cs="Angsana New"/>
      <w:szCs w:val="40"/>
    </w:rPr>
  </w:style>
  <w:style w:type="paragraph" w:styleId="Header">
    <w:name w:val="header"/>
    <w:basedOn w:val="Normal"/>
    <w:link w:val="HeaderChar"/>
    <w:uiPriority w:val="99"/>
    <w:unhideWhenUsed/>
    <w:rsid w:val="00271EDC"/>
    <w:pPr>
      <w:tabs>
        <w:tab w:val="center" w:pos="4513"/>
        <w:tab w:val="right" w:pos="9026"/>
      </w:tabs>
      <w:spacing w:after="0" w:line="240" w:lineRule="auto"/>
    </w:pPr>
    <w:rPr>
      <w:rFonts w:cs="Angsana New"/>
      <w:szCs w:val="40"/>
    </w:rPr>
  </w:style>
  <w:style w:type="character" w:customStyle="1" w:styleId="HeaderChar">
    <w:name w:val="Header Char"/>
    <w:basedOn w:val="DefaultParagraphFont"/>
    <w:link w:val="Header"/>
    <w:uiPriority w:val="99"/>
    <w:rsid w:val="00271EDC"/>
    <w:rPr>
      <w:rFonts w:cs="Angsana New"/>
      <w:szCs w:val="40"/>
    </w:rPr>
  </w:style>
  <w:style w:type="paragraph" w:styleId="Footer">
    <w:name w:val="footer"/>
    <w:basedOn w:val="Normal"/>
    <w:link w:val="FooterChar"/>
    <w:uiPriority w:val="99"/>
    <w:unhideWhenUsed/>
    <w:rsid w:val="00271EDC"/>
    <w:pPr>
      <w:tabs>
        <w:tab w:val="center" w:pos="4513"/>
        <w:tab w:val="right" w:pos="9026"/>
      </w:tabs>
      <w:spacing w:after="0" w:line="240" w:lineRule="auto"/>
    </w:pPr>
    <w:rPr>
      <w:rFonts w:cs="Angsana New"/>
      <w:szCs w:val="40"/>
    </w:rPr>
  </w:style>
  <w:style w:type="character" w:customStyle="1" w:styleId="FooterChar">
    <w:name w:val="Footer Char"/>
    <w:basedOn w:val="DefaultParagraphFont"/>
    <w:link w:val="Footer"/>
    <w:uiPriority w:val="99"/>
    <w:rsid w:val="00271EDC"/>
    <w:rPr>
      <w:rFonts w:cs="Angsana New"/>
      <w:szCs w:val="40"/>
    </w:rPr>
  </w:style>
  <w:style w:type="character" w:styleId="Hyperlink">
    <w:name w:val="Hyperlink"/>
    <w:basedOn w:val="DefaultParagraphFont"/>
    <w:uiPriority w:val="99"/>
    <w:unhideWhenUsed/>
    <w:rsid w:val="00C338EE"/>
    <w:rPr>
      <w:color w:val="0563C1" w:themeColor="hyperlink"/>
      <w:u w:val="single"/>
    </w:rPr>
  </w:style>
  <w:style w:type="paragraph" w:styleId="FootnoteText">
    <w:name w:val="footnote text"/>
    <w:basedOn w:val="Normal"/>
    <w:link w:val="FootnoteTextChar"/>
    <w:uiPriority w:val="99"/>
    <w:semiHidden/>
    <w:unhideWhenUsed/>
    <w:rsid w:val="002A1FCC"/>
    <w:pPr>
      <w:spacing w:after="0" w:line="240" w:lineRule="auto"/>
    </w:pPr>
    <w:rPr>
      <w:rFonts w:cs="Angsana New"/>
      <w:sz w:val="20"/>
      <w:szCs w:val="25"/>
    </w:rPr>
  </w:style>
  <w:style w:type="character" w:customStyle="1" w:styleId="FootnoteTextChar">
    <w:name w:val="Footnote Text Char"/>
    <w:basedOn w:val="DefaultParagraphFont"/>
    <w:link w:val="FootnoteText"/>
    <w:uiPriority w:val="99"/>
    <w:semiHidden/>
    <w:rsid w:val="002A1FCC"/>
    <w:rPr>
      <w:rFonts w:cs="Angsana New"/>
      <w:sz w:val="20"/>
      <w:szCs w:val="25"/>
    </w:rPr>
  </w:style>
  <w:style w:type="character" w:styleId="FootnoteReference">
    <w:name w:val="footnote reference"/>
    <w:basedOn w:val="DefaultParagraphFont"/>
    <w:uiPriority w:val="99"/>
    <w:semiHidden/>
    <w:unhideWhenUsed/>
    <w:rsid w:val="002A1FCC"/>
    <w:rPr>
      <w:vertAlign w:val="superscript"/>
    </w:rPr>
  </w:style>
  <w:style w:type="character" w:styleId="CommentReference">
    <w:name w:val="annotation reference"/>
    <w:basedOn w:val="DefaultParagraphFont"/>
    <w:uiPriority w:val="99"/>
    <w:semiHidden/>
    <w:unhideWhenUsed/>
    <w:rsid w:val="000173A7"/>
    <w:rPr>
      <w:sz w:val="16"/>
      <w:szCs w:val="16"/>
    </w:rPr>
  </w:style>
  <w:style w:type="paragraph" w:styleId="CommentText">
    <w:name w:val="annotation text"/>
    <w:basedOn w:val="Normal"/>
    <w:link w:val="CommentTextChar"/>
    <w:uiPriority w:val="99"/>
    <w:semiHidden/>
    <w:unhideWhenUsed/>
    <w:rsid w:val="000173A7"/>
    <w:pPr>
      <w:spacing w:line="240" w:lineRule="auto"/>
    </w:pPr>
    <w:rPr>
      <w:rFonts w:cs="Angsana New"/>
      <w:sz w:val="20"/>
      <w:szCs w:val="25"/>
    </w:rPr>
  </w:style>
  <w:style w:type="character" w:customStyle="1" w:styleId="CommentTextChar">
    <w:name w:val="Comment Text Char"/>
    <w:basedOn w:val="DefaultParagraphFont"/>
    <w:link w:val="CommentText"/>
    <w:uiPriority w:val="99"/>
    <w:semiHidden/>
    <w:rsid w:val="000173A7"/>
    <w:rPr>
      <w:rFonts w:cs="Angsana New"/>
      <w:sz w:val="20"/>
      <w:szCs w:val="25"/>
    </w:rPr>
  </w:style>
  <w:style w:type="paragraph" w:styleId="CommentSubject">
    <w:name w:val="annotation subject"/>
    <w:basedOn w:val="CommentText"/>
    <w:next w:val="CommentText"/>
    <w:link w:val="CommentSubjectChar"/>
    <w:uiPriority w:val="99"/>
    <w:semiHidden/>
    <w:unhideWhenUsed/>
    <w:rsid w:val="000173A7"/>
    <w:rPr>
      <w:b/>
      <w:bCs/>
    </w:rPr>
  </w:style>
  <w:style w:type="character" w:customStyle="1" w:styleId="CommentSubjectChar">
    <w:name w:val="Comment Subject Char"/>
    <w:basedOn w:val="CommentTextChar"/>
    <w:link w:val="CommentSubject"/>
    <w:uiPriority w:val="99"/>
    <w:semiHidden/>
    <w:rsid w:val="000173A7"/>
    <w:rPr>
      <w:rFonts w:cs="Angsana New"/>
      <w:b/>
      <w:bCs/>
      <w:sz w:val="20"/>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image" Target="media/image3.png"/><Relationship Id="rId26" Type="http://schemas.openxmlformats.org/officeDocument/2006/relationships/chart" Target="charts/chart7.xml"/><Relationship Id="rId39" Type="http://schemas.openxmlformats.org/officeDocument/2006/relationships/hyperlink" Target="http://tdri.or.th/wp-content/uploads/2013/02/g3_mattana.%20pdf%20"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chart" Target="charts/chart15.xm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hyperlink" Target="http://www.ntaccounts.org" TargetMode="External"/><Relationship Id="rId25" Type="http://schemas.openxmlformats.org/officeDocument/2006/relationships/image" Target="media/image10.emf"/><Relationship Id="rId33" Type="http://schemas.openxmlformats.org/officeDocument/2006/relationships/chart" Target="charts/chart14.xml"/><Relationship Id="rId38" Type="http://schemas.openxmlformats.org/officeDocument/2006/relationships/hyperlink" Target="http://www.nhso.go.th/frontend/NewsInformationDetail.aspx?newsid=NjI3"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chart" Target="charts/chart10.xml"/><Relationship Id="rId41" Type="http://schemas.openxmlformats.org/officeDocument/2006/relationships/hyperlink" Target="http://www.unesco.org/education/wef/countryreports/thailand/content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9.emf"/><Relationship Id="rId32" Type="http://schemas.openxmlformats.org/officeDocument/2006/relationships/chart" Target="charts/chart13.xml"/><Relationship Id="rId37" Type="http://schemas.openxmlformats.org/officeDocument/2006/relationships/hyperlink" Target="http://www.nesdb.go.th/Default.aspx?tabid=94" TargetMode="External"/><Relationship Id="rId40" Type="http://schemas.openxmlformats.org/officeDocument/2006/relationships/hyperlink" Target="http://www.socialsecurityextension.org/gimi/gess/ShowRessource.action?ressource.ressourceId=24378" TargetMode="Externa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image" Target="media/image8.png"/><Relationship Id="rId28" Type="http://schemas.openxmlformats.org/officeDocument/2006/relationships/chart" Target="charts/chart9.xml"/><Relationship Id="rId36" Type="http://schemas.openxmlformats.org/officeDocument/2006/relationships/hyperlink" Target="http://www.kmutt.ac.th/pi/backup/fileKK/Higher%20Edu%20Reform%20Roadmap.pdf" TargetMode="External"/><Relationship Id="rId10" Type="http://schemas.openxmlformats.org/officeDocument/2006/relationships/chart" Target="charts/chart1.xml"/><Relationship Id="rId19" Type="http://schemas.openxmlformats.org/officeDocument/2006/relationships/image" Target="media/image4.png"/><Relationship Id="rId31" Type="http://schemas.openxmlformats.org/officeDocument/2006/relationships/chart" Target="charts/chart12.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image" Target="media/image7.png"/><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hyperlink" Target="http://ihpp.thaigov.net/index.php?option=com_content&amp;view=article&amp;id=215"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Leesang@hawaii.ed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3.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Budget</a:t>
            </a:r>
            <a:r>
              <a:rPr lang="en-US" baseline="0"/>
              <a:t> &amp; its Share of GDP</a:t>
            </a:r>
            <a:endParaRPr lang="en-US"/>
          </a:p>
        </c:rich>
      </c:tx>
      <c:layout>
        <c:manualLayout>
          <c:xMode val="edge"/>
          <c:yMode val="edge"/>
          <c:x val="0.25096657917760296"/>
          <c:y val="0"/>
        </c:manualLayout>
      </c:layout>
      <c:overlay val="1"/>
    </c:title>
    <c:autoTitleDeleted val="0"/>
    <c:plotArea>
      <c:layout>
        <c:manualLayout>
          <c:layoutTarget val="inner"/>
          <c:xMode val="edge"/>
          <c:yMode val="edge"/>
          <c:x val="0.18419082446154902"/>
          <c:y val="0.14393268257198194"/>
          <c:w val="0.67154785651793558"/>
          <c:h val="0.60437445319335092"/>
        </c:manualLayout>
      </c:layout>
      <c:lineChart>
        <c:grouping val="standard"/>
        <c:varyColors val="0"/>
        <c:ser>
          <c:idx val="0"/>
          <c:order val="0"/>
          <c:tx>
            <c:strRef>
              <c:f>Sheet1!$A$2</c:f>
              <c:strCache>
                <c:ptCount val="1"/>
                <c:pt idx="0">
                  <c:v>Government budget</c:v>
                </c:pt>
              </c:strCache>
            </c:strRef>
          </c:tx>
          <c:marker>
            <c:symbol val="none"/>
          </c:marker>
          <c:cat>
            <c:strRef>
              <c:f>Sheet1!$B$1:$AA$1</c:f>
              <c:strCache>
                <c:ptCount val="26"/>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strCache>
            </c:strRef>
          </c:cat>
          <c:val>
            <c:numRef>
              <c:f>Sheet1!$B$2:$AA$2</c:f>
              <c:numCache>
                <c:formatCode>General</c:formatCode>
                <c:ptCount val="26"/>
                <c:pt idx="0">
                  <c:v>285500</c:v>
                </c:pt>
                <c:pt idx="1">
                  <c:v>335000</c:v>
                </c:pt>
                <c:pt idx="2">
                  <c:v>387500.00000000006</c:v>
                </c:pt>
                <c:pt idx="3">
                  <c:v>460400.00000000006</c:v>
                </c:pt>
                <c:pt idx="4">
                  <c:v>560000</c:v>
                </c:pt>
                <c:pt idx="5">
                  <c:v>625000</c:v>
                </c:pt>
                <c:pt idx="6">
                  <c:v>715000</c:v>
                </c:pt>
                <c:pt idx="7">
                  <c:v>843200</c:v>
                </c:pt>
                <c:pt idx="8">
                  <c:v>925000</c:v>
                </c:pt>
                <c:pt idx="9">
                  <c:v>829999.99999999977</c:v>
                </c:pt>
                <c:pt idx="10">
                  <c:v>825000</c:v>
                </c:pt>
                <c:pt idx="11">
                  <c:v>860000</c:v>
                </c:pt>
                <c:pt idx="12">
                  <c:v>910000</c:v>
                </c:pt>
                <c:pt idx="13">
                  <c:v>1023000</c:v>
                </c:pt>
                <c:pt idx="14">
                  <c:v>999900</c:v>
                </c:pt>
                <c:pt idx="15">
                  <c:v>1163500</c:v>
                </c:pt>
                <c:pt idx="16">
                  <c:v>1250000</c:v>
                </c:pt>
                <c:pt idx="17">
                  <c:v>1360000</c:v>
                </c:pt>
                <c:pt idx="18">
                  <c:v>1566200</c:v>
                </c:pt>
                <c:pt idx="19">
                  <c:v>1660000</c:v>
                </c:pt>
                <c:pt idx="20">
                  <c:v>1951700</c:v>
                </c:pt>
                <c:pt idx="21">
                  <c:v>1700000</c:v>
                </c:pt>
                <c:pt idx="22">
                  <c:v>2169967.5</c:v>
                </c:pt>
                <c:pt idx="23">
                  <c:v>2380000</c:v>
                </c:pt>
                <c:pt idx="24">
                  <c:v>2400000</c:v>
                </c:pt>
                <c:pt idx="25">
                  <c:v>2525000</c:v>
                </c:pt>
              </c:numCache>
            </c:numRef>
          </c:val>
          <c:smooth val="0"/>
        </c:ser>
        <c:dLbls>
          <c:showLegendKey val="0"/>
          <c:showVal val="0"/>
          <c:showCatName val="0"/>
          <c:showSerName val="0"/>
          <c:showPercent val="0"/>
          <c:showBubbleSize val="0"/>
        </c:dLbls>
        <c:marker val="1"/>
        <c:smooth val="0"/>
        <c:axId val="281896448"/>
        <c:axId val="281897984"/>
      </c:lineChart>
      <c:lineChart>
        <c:grouping val="standard"/>
        <c:varyColors val="0"/>
        <c:ser>
          <c:idx val="1"/>
          <c:order val="1"/>
          <c:tx>
            <c:strRef>
              <c:f>Sheet1!$A$3</c:f>
              <c:strCache>
                <c:ptCount val="1"/>
                <c:pt idx="0">
                  <c:v>Share of GDP</c:v>
                </c:pt>
              </c:strCache>
            </c:strRef>
          </c:tx>
          <c:marker>
            <c:symbol val="none"/>
          </c:marker>
          <c:cat>
            <c:strRef>
              <c:f>Sheet1!$B$1:$AA$1</c:f>
              <c:strCache>
                <c:ptCount val="26"/>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strCache>
            </c:strRef>
          </c:cat>
          <c:val>
            <c:numRef>
              <c:f>Sheet1!$B$3:$AA$3</c:f>
              <c:numCache>
                <c:formatCode>General</c:formatCode>
                <c:ptCount val="26"/>
                <c:pt idx="0">
                  <c:v>16.012338754907461</c:v>
                </c:pt>
                <c:pt idx="1">
                  <c:v>15.891840607210625</c:v>
                </c:pt>
                <c:pt idx="2">
                  <c:v>15.900697578990565</c:v>
                </c:pt>
                <c:pt idx="3">
                  <c:v>16.71143375680581</c:v>
                </c:pt>
                <c:pt idx="4">
                  <c:v>18.146467919637075</c:v>
                </c:pt>
                <c:pt idx="5">
                  <c:v>17.887807670291927</c:v>
                </c:pt>
                <c:pt idx="6">
                  <c:v>17.546012269938647</c:v>
                </c:pt>
                <c:pt idx="7">
                  <c:v>18.638373121131739</c:v>
                </c:pt>
                <c:pt idx="8">
                  <c:v>19.655758606034848</c:v>
                </c:pt>
                <c:pt idx="9">
                  <c:v>16.361127537945983</c:v>
                </c:pt>
                <c:pt idx="10">
                  <c:v>16.493402638944417</c:v>
                </c:pt>
                <c:pt idx="11">
                  <c:v>16.74128868989683</c:v>
                </c:pt>
                <c:pt idx="12">
                  <c:v>17.471105479399455</c:v>
                </c:pt>
                <c:pt idx="13">
                  <c:v>19.268439689595411</c:v>
                </c:pt>
                <c:pt idx="14">
                  <c:v>17.240546924840938</c:v>
                </c:pt>
                <c:pt idx="15">
                  <c:v>17.966059819953365</c:v>
                </c:pt>
                <c:pt idx="16">
                  <c:v>17.373175816539263</c:v>
                </c:pt>
                <c:pt idx="17">
                  <c:v>17.466800236315528</c:v>
                </c:pt>
                <c:pt idx="18">
                  <c:v>18.647458030717942</c:v>
                </c:pt>
                <c:pt idx="19">
                  <c:v>17.98054634864928</c:v>
                </c:pt>
                <c:pt idx="20">
                  <c:v>22.401147776183638</c:v>
                </c:pt>
                <c:pt idx="21">
                  <c:v>16.998470137687605</c:v>
                </c:pt>
                <c:pt idx="22">
                  <c:v>20.589098999943069</c:v>
                </c:pt>
                <c:pt idx="23">
                  <c:v>20.734235882424688</c:v>
                </c:pt>
                <c:pt idx="24">
                  <c:v>20.100000000000001</c:v>
                </c:pt>
                <c:pt idx="25">
                  <c:v>20.323567289117833</c:v>
                </c:pt>
              </c:numCache>
            </c:numRef>
          </c:val>
          <c:smooth val="0"/>
        </c:ser>
        <c:dLbls>
          <c:showLegendKey val="0"/>
          <c:showVal val="0"/>
          <c:showCatName val="0"/>
          <c:showSerName val="0"/>
          <c:showPercent val="0"/>
          <c:showBubbleSize val="0"/>
        </c:dLbls>
        <c:marker val="1"/>
        <c:smooth val="0"/>
        <c:axId val="282192128"/>
        <c:axId val="282190208"/>
      </c:lineChart>
      <c:catAx>
        <c:axId val="281896448"/>
        <c:scaling>
          <c:orientation val="minMax"/>
        </c:scaling>
        <c:delete val="0"/>
        <c:axPos val="b"/>
        <c:numFmt formatCode="General" sourceLinked="0"/>
        <c:majorTickMark val="out"/>
        <c:minorTickMark val="none"/>
        <c:tickLblPos val="nextTo"/>
        <c:txPr>
          <a:bodyPr rot="-5400000" vert="horz"/>
          <a:lstStyle/>
          <a:p>
            <a:pPr>
              <a:defRPr/>
            </a:pPr>
            <a:endParaRPr lang="en-US"/>
          </a:p>
        </c:txPr>
        <c:crossAx val="281897984"/>
        <c:crosses val="autoZero"/>
        <c:auto val="1"/>
        <c:lblAlgn val="ctr"/>
        <c:lblOffset val="100"/>
        <c:noMultiLvlLbl val="0"/>
      </c:catAx>
      <c:valAx>
        <c:axId val="281897984"/>
        <c:scaling>
          <c:orientation val="minMax"/>
        </c:scaling>
        <c:delete val="0"/>
        <c:axPos val="l"/>
        <c:majorGridlines/>
        <c:title>
          <c:tx>
            <c:rich>
              <a:bodyPr rot="0" vert="horz"/>
              <a:lstStyle/>
              <a:p>
                <a:pPr>
                  <a:defRPr b="0"/>
                </a:pPr>
                <a:r>
                  <a:rPr lang="en-US" b="0"/>
                  <a:t>Million Baht</a:t>
                </a:r>
              </a:p>
            </c:rich>
          </c:tx>
          <c:layout>
            <c:manualLayout>
              <c:xMode val="edge"/>
              <c:yMode val="edge"/>
              <c:x val="0.10859982502187226"/>
              <c:y val="3.3045307538804849E-3"/>
            </c:manualLayout>
          </c:layout>
          <c:overlay val="0"/>
        </c:title>
        <c:numFmt formatCode="#,##0" sourceLinked="0"/>
        <c:majorTickMark val="out"/>
        <c:minorTickMark val="none"/>
        <c:tickLblPos val="nextTo"/>
        <c:crossAx val="281896448"/>
        <c:crosses val="autoZero"/>
        <c:crossBetween val="between"/>
      </c:valAx>
      <c:valAx>
        <c:axId val="282190208"/>
        <c:scaling>
          <c:orientation val="minMax"/>
        </c:scaling>
        <c:delete val="0"/>
        <c:axPos val="r"/>
        <c:title>
          <c:tx>
            <c:rich>
              <a:bodyPr rot="0" vert="horz"/>
              <a:lstStyle/>
              <a:p>
                <a:pPr>
                  <a:defRPr b="0"/>
                </a:pPr>
                <a:r>
                  <a:rPr lang="en-US" b="0"/>
                  <a:t>%</a:t>
                </a:r>
              </a:p>
            </c:rich>
          </c:tx>
          <c:layout>
            <c:manualLayout>
              <c:xMode val="edge"/>
              <c:yMode val="edge"/>
              <c:x val="0.87637760279965005"/>
              <c:y val="3.9989776558829002E-2"/>
            </c:manualLayout>
          </c:layout>
          <c:overlay val="0"/>
        </c:title>
        <c:numFmt formatCode="#,##0.0" sourceLinked="0"/>
        <c:majorTickMark val="out"/>
        <c:minorTickMark val="none"/>
        <c:tickLblPos val="nextTo"/>
        <c:crossAx val="282192128"/>
        <c:crosses val="max"/>
        <c:crossBetween val="between"/>
      </c:valAx>
      <c:catAx>
        <c:axId val="282192128"/>
        <c:scaling>
          <c:orientation val="minMax"/>
        </c:scaling>
        <c:delete val="1"/>
        <c:axPos val="b"/>
        <c:numFmt formatCode="General" sourceLinked="1"/>
        <c:majorTickMark val="out"/>
        <c:minorTickMark val="none"/>
        <c:tickLblPos val="nextTo"/>
        <c:crossAx val="282190208"/>
        <c:crosses val="autoZero"/>
        <c:auto val="1"/>
        <c:lblAlgn val="ctr"/>
        <c:lblOffset val="100"/>
        <c:noMultiLvlLbl val="0"/>
      </c:catAx>
    </c:plotArea>
    <c:legend>
      <c:legendPos val="b"/>
      <c:layout>
        <c:manualLayout>
          <c:xMode val="edge"/>
          <c:yMode val="edge"/>
          <c:x val="0.14001224846894142"/>
          <c:y val="0.91419741071691873"/>
          <c:w val="0.76205105190866684"/>
          <c:h val="8.5802673242357158E-2"/>
        </c:manualLayout>
      </c:layout>
      <c:overlay val="0"/>
    </c:legend>
    <c:plotVisOnly val="1"/>
    <c:dispBlanksAs val="gap"/>
    <c:showDLblsOverMax val="0"/>
  </c:chart>
  <c:spPr>
    <a:ln>
      <a:noFill/>
    </a:ln>
  </c:spPr>
  <c:txPr>
    <a:bodyPr/>
    <a:lstStyle/>
    <a:p>
      <a:pPr>
        <a:defRPr sz="800">
          <a:latin typeface="Tahoma" pitchFamily="34" charset="0"/>
          <a:cs typeface="Tahoma"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Social</a:t>
            </a:r>
            <a:r>
              <a:rPr lang="en-US" sz="1000" baseline="0"/>
              <a:t> transformation</a:t>
            </a:r>
          </a:p>
          <a:p>
            <a:pPr>
              <a:defRPr sz="1000" b="0" i="0" u="none" strike="noStrike" kern="1200" spc="0" baseline="0">
                <a:solidFill>
                  <a:schemeClr val="tx1">
                    <a:lumMod val="65000"/>
                    <a:lumOff val="35000"/>
                  </a:schemeClr>
                </a:solidFill>
                <a:latin typeface="+mn-lt"/>
                <a:ea typeface="+mn-ea"/>
                <a:cs typeface="+mn-cs"/>
              </a:defRPr>
            </a:pPr>
            <a:r>
              <a:rPr lang="en-US" sz="1000" baseline="0"/>
              <a:t>No constraints</a:t>
            </a:r>
            <a:endParaRPr lang="en-US" sz="1000"/>
          </a:p>
        </c:rich>
      </c:tx>
      <c:overlay val="0"/>
      <c:spPr>
        <a:noFill/>
        <a:ln>
          <a:noFill/>
        </a:ln>
        <a:effectLst/>
      </c:spPr>
    </c:title>
    <c:autoTitleDeleted val="0"/>
    <c:plotArea>
      <c:layout/>
      <c:lineChart>
        <c:grouping val="standard"/>
        <c:varyColors val="0"/>
        <c:ser>
          <c:idx val="0"/>
          <c:order val="0"/>
          <c:tx>
            <c:strRef>
              <c:f>Sheet1!$AH$1</c:f>
              <c:strCache>
                <c:ptCount val="1"/>
                <c:pt idx="0">
                  <c:v>TGI /GDP</c:v>
                </c:pt>
              </c:strCache>
            </c:strRef>
          </c:tx>
          <c:spPr>
            <a:ln w="28575" cap="rnd">
              <a:solidFill>
                <a:schemeClr val="accent1"/>
              </a:solidFill>
              <a:round/>
            </a:ln>
            <a:effectLst/>
          </c:spPr>
          <c:marker>
            <c:symbol val="none"/>
          </c:marker>
          <c:cat>
            <c:numRef>
              <c:f>Sheet1!$B$59:$B$69</c:f>
              <c:numCache>
                <c:formatCode>General</c:formatCode>
                <c:ptCount val="11"/>
                <c:pt idx="0">
                  <c:v>2011</c:v>
                </c:pt>
                <c:pt idx="1">
                  <c:v>2015</c:v>
                </c:pt>
                <c:pt idx="2">
                  <c:v>2020</c:v>
                </c:pt>
                <c:pt idx="3">
                  <c:v>2025</c:v>
                </c:pt>
                <c:pt idx="4">
                  <c:v>2030</c:v>
                </c:pt>
                <c:pt idx="5">
                  <c:v>2035</c:v>
                </c:pt>
                <c:pt idx="6">
                  <c:v>2040</c:v>
                </c:pt>
                <c:pt idx="7">
                  <c:v>2045</c:v>
                </c:pt>
                <c:pt idx="8">
                  <c:v>2050</c:v>
                </c:pt>
                <c:pt idx="9">
                  <c:v>2055</c:v>
                </c:pt>
                <c:pt idx="10">
                  <c:v>2060</c:v>
                </c:pt>
              </c:numCache>
            </c:numRef>
          </c:cat>
          <c:val>
            <c:numRef>
              <c:f>Sheet1!$AH$59:$AH$69</c:f>
              <c:numCache>
                <c:formatCode>General</c:formatCode>
                <c:ptCount val="11"/>
                <c:pt idx="0">
                  <c:v>0.16594999999999999</c:v>
                </c:pt>
                <c:pt idx="1">
                  <c:v>0.16405</c:v>
                </c:pt>
                <c:pt idx="2">
                  <c:v>0.16730999999999999</c:v>
                </c:pt>
                <c:pt idx="3">
                  <c:v>0.18481</c:v>
                </c:pt>
                <c:pt idx="4">
                  <c:v>0.20877999999999999</c:v>
                </c:pt>
                <c:pt idx="5">
                  <c:v>0.23910999999999999</c:v>
                </c:pt>
                <c:pt idx="6">
                  <c:v>0.27494000000000002</c:v>
                </c:pt>
                <c:pt idx="7">
                  <c:v>0.31402999999999998</c:v>
                </c:pt>
                <c:pt idx="8">
                  <c:v>0.35487000000000002</c:v>
                </c:pt>
                <c:pt idx="9">
                  <c:v>0.39696999999999999</c:v>
                </c:pt>
                <c:pt idx="10">
                  <c:v>0.43868000000000001</c:v>
                </c:pt>
              </c:numCache>
            </c:numRef>
          </c:val>
          <c:smooth val="0"/>
        </c:ser>
        <c:ser>
          <c:idx val="1"/>
          <c:order val="1"/>
          <c:tx>
            <c:strRef>
              <c:f>Sheet1!$AI$1</c:f>
              <c:strCache>
                <c:ptCount val="1"/>
                <c:pt idx="0">
                  <c:v>TAX /GDP</c:v>
                </c:pt>
              </c:strCache>
            </c:strRef>
          </c:tx>
          <c:spPr>
            <a:ln w="28575" cap="rnd">
              <a:solidFill>
                <a:schemeClr val="accent2"/>
              </a:solidFill>
              <a:round/>
            </a:ln>
            <a:effectLst/>
          </c:spPr>
          <c:marker>
            <c:symbol val="none"/>
          </c:marker>
          <c:cat>
            <c:numRef>
              <c:f>Sheet1!$B$59:$B$69</c:f>
              <c:numCache>
                <c:formatCode>General</c:formatCode>
                <c:ptCount val="11"/>
                <c:pt idx="0">
                  <c:v>2011</c:v>
                </c:pt>
                <c:pt idx="1">
                  <c:v>2015</c:v>
                </c:pt>
                <c:pt idx="2">
                  <c:v>2020</c:v>
                </c:pt>
                <c:pt idx="3">
                  <c:v>2025</c:v>
                </c:pt>
                <c:pt idx="4">
                  <c:v>2030</c:v>
                </c:pt>
                <c:pt idx="5">
                  <c:v>2035</c:v>
                </c:pt>
                <c:pt idx="6">
                  <c:v>2040</c:v>
                </c:pt>
                <c:pt idx="7">
                  <c:v>2045</c:v>
                </c:pt>
                <c:pt idx="8">
                  <c:v>2050</c:v>
                </c:pt>
                <c:pt idx="9">
                  <c:v>2055</c:v>
                </c:pt>
                <c:pt idx="10">
                  <c:v>2060</c:v>
                </c:pt>
              </c:numCache>
            </c:numRef>
          </c:cat>
          <c:val>
            <c:numRef>
              <c:f>Sheet1!$AI$59:$AI$69</c:f>
              <c:numCache>
                <c:formatCode>General</c:formatCode>
                <c:ptCount val="11"/>
                <c:pt idx="0">
                  <c:v>0.18665000000000001</c:v>
                </c:pt>
                <c:pt idx="1">
                  <c:v>0.18917</c:v>
                </c:pt>
                <c:pt idx="2">
                  <c:v>0.19608</c:v>
                </c:pt>
                <c:pt idx="3">
                  <c:v>0.21415000000000001</c:v>
                </c:pt>
                <c:pt idx="4">
                  <c:v>0.23319999999999999</c:v>
                </c:pt>
                <c:pt idx="5">
                  <c:v>0.25274000000000002</c:v>
                </c:pt>
                <c:pt idx="6">
                  <c:v>0.27217000000000002</c:v>
                </c:pt>
                <c:pt idx="7">
                  <c:v>0.29077999999999998</c:v>
                </c:pt>
                <c:pt idx="8">
                  <c:v>0.30875000000000002</c:v>
                </c:pt>
                <c:pt idx="9">
                  <c:v>0.32623000000000002</c:v>
                </c:pt>
                <c:pt idx="10">
                  <c:v>0.3427</c:v>
                </c:pt>
              </c:numCache>
            </c:numRef>
          </c:val>
          <c:smooth val="0"/>
        </c:ser>
        <c:ser>
          <c:idx val="2"/>
          <c:order val="2"/>
          <c:tx>
            <c:strRef>
              <c:f>Sheet1!$AJ$1</c:f>
              <c:strCache>
                <c:ptCount val="1"/>
                <c:pt idx="0">
                  <c:v>TGD/GDP</c:v>
                </c:pt>
              </c:strCache>
            </c:strRef>
          </c:tx>
          <c:spPr>
            <a:ln w="28575" cap="rnd">
              <a:solidFill>
                <a:schemeClr val="accent3"/>
              </a:solidFill>
              <a:round/>
            </a:ln>
            <a:effectLst/>
          </c:spPr>
          <c:marker>
            <c:symbol val="none"/>
          </c:marker>
          <c:cat>
            <c:numRef>
              <c:f>Sheet1!$B$59:$B$69</c:f>
              <c:numCache>
                <c:formatCode>General</c:formatCode>
                <c:ptCount val="11"/>
                <c:pt idx="0">
                  <c:v>2011</c:v>
                </c:pt>
                <c:pt idx="1">
                  <c:v>2015</c:v>
                </c:pt>
                <c:pt idx="2">
                  <c:v>2020</c:v>
                </c:pt>
                <c:pt idx="3">
                  <c:v>2025</c:v>
                </c:pt>
                <c:pt idx="4">
                  <c:v>2030</c:v>
                </c:pt>
                <c:pt idx="5">
                  <c:v>2035</c:v>
                </c:pt>
                <c:pt idx="6">
                  <c:v>2040</c:v>
                </c:pt>
                <c:pt idx="7">
                  <c:v>2045</c:v>
                </c:pt>
                <c:pt idx="8">
                  <c:v>2050</c:v>
                </c:pt>
                <c:pt idx="9">
                  <c:v>2055</c:v>
                </c:pt>
                <c:pt idx="10">
                  <c:v>2060</c:v>
                </c:pt>
              </c:numCache>
            </c:numRef>
          </c:cat>
          <c:val>
            <c:numRef>
              <c:f>Sheet1!$AJ$59:$AJ$69</c:f>
              <c:numCache>
                <c:formatCode>General</c:formatCode>
                <c:ptCount val="11"/>
                <c:pt idx="0">
                  <c:v>-2.0700000000000024E-2</c:v>
                </c:pt>
                <c:pt idx="1">
                  <c:v>-2.5120000000000003E-2</c:v>
                </c:pt>
                <c:pt idx="2">
                  <c:v>-2.8770000000000018E-2</c:v>
                </c:pt>
                <c:pt idx="3">
                  <c:v>-2.9340000000000005E-2</c:v>
                </c:pt>
                <c:pt idx="4">
                  <c:v>-2.4419999999999997E-2</c:v>
                </c:pt>
                <c:pt idx="5">
                  <c:v>-1.3630000000000031E-2</c:v>
                </c:pt>
                <c:pt idx="6">
                  <c:v>2.7699999999999947E-3</c:v>
                </c:pt>
                <c:pt idx="7">
                  <c:v>2.3249999999999993E-2</c:v>
                </c:pt>
                <c:pt idx="8">
                  <c:v>4.6119999999999994E-2</c:v>
                </c:pt>
                <c:pt idx="9">
                  <c:v>7.073999999999997E-2</c:v>
                </c:pt>
                <c:pt idx="10">
                  <c:v>9.598000000000001E-2</c:v>
                </c:pt>
              </c:numCache>
            </c:numRef>
          </c:val>
          <c:smooth val="0"/>
        </c:ser>
        <c:dLbls>
          <c:showLegendKey val="0"/>
          <c:showVal val="0"/>
          <c:showCatName val="0"/>
          <c:showSerName val="0"/>
          <c:showPercent val="0"/>
          <c:showBubbleSize val="0"/>
        </c:dLbls>
        <c:marker val="1"/>
        <c:smooth val="0"/>
        <c:axId val="284477312"/>
        <c:axId val="284478848"/>
      </c:lineChart>
      <c:catAx>
        <c:axId val="284477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4478848"/>
        <c:crosses val="autoZero"/>
        <c:auto val="1"/>
        <c:lblAlgn val="ctr"/>
        <c:lblOffset val="100"/>
        <c:noMultiLvlLbl val="0"/>
      </c:catAx>
      <c:valAx>
        <c:axId val="284478848"/>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4477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Social</a:t>
            </a:r>
            <a:r>
              <a:rPr lang="en-US" sz="900" baseline="0"/>
              <a:t> welfare transformation</a:t>
            </a:r>
          </a:p>
          <a:p>
            <a:pPr>
              <a:defRPr sz="900" b="0" i="0" u="none" strike="noStrike" kern="1200" spc="0" baseline="0">
                <a:solidFill>
                  <a:schemeClr val="tx1">
                    <a:lumMod val="65000"/>
                    <a:lumOff val="35000"/>
                  </a:schemeClr>
                </a:solidFill>
                <a:latin typeface="+mn-lt"/>
                <a:ea typeface="+mn-ea"/>
                <a:cs typeface="+mn-cs"/>
              </a:defRPr>
            </a:pPr>
            <a:r>
              <a:rPr lang="en-US" sz="900" baseline="0"/>
              <a:t>Constraints</a:t>
            </a:r>
            <a:endParaRPr lang="en-US" sz="900"/>
          </a:p>
        </c:rich>
      </c:tx>
      <c:overlay val="0"/>
      <c:spPr>
        <a:noFill/>
        <a:ln>
          <a:noFill/>
        </a:ln>
        <a:effectLst/>
      </c:spPr>
    </c:title>
    <c:autoTitleDeleted val="0"/>
    <c:plotArea>
      <c:layout/>
      <c:lineChart>
        <c:grouping val="standard"/>
        <c:varyColors val="0"/>
        <c:ser>
          <c:idx val="0"/>
          <c:order val="0"/>
          <c:tx>
            <c:strRef>
              <c:f>Sheet1!$AH$1</c:f>
              <c:strCache>
                <c:ptCount val="1"/>
                <c:pt idx="0">
                  <c:v>TGI /GDP</c:v>
                </c:pt>
              </c:strCache>
            </c:strRef>
          </c:tx>
          <c:spPr>
            <a:ln w="28575" cap="rnd">
              <a:solidFill>
                <a:schemeClr val="accent1"/>
              </a:solidFill>
              <a:round/>
            </a:ln>
            <a:effectLst/>
          </c:spPr>
          <c:marker>
            <c:symbol val="none"/>
          </c:marker>
          <c:cat>
            <c:numRef>
              <c:f>Sheet1!$B$40:$B$50</c:f>
              <c:numCache>
                <c:formatCode>General</c:formatCode>
                <c:ptCount val="11"/>
                <c:pt idx="0">
                  <c:v>2011</c:v>
                </c:pt>
                <c:pt idx="1">
                  <c:v>2015</c:v>
                </c:pt>
                <c:pt idx="2">
                  <c:v>2020</c:v>
                </c:pt>
                <c:pt idx="3">
                  <c:v>2025</c:v>
                </c:pt>
                <c:pt idx="4">
                  <c:v>2030</c:v>
                </c:pt>
                <c:pt idx="5">
                  <c:v>2035</c:v>
                </c:pt>
                <c:pt idx="6">
                  <c:v>2040</c:v>
                </c:pt>
                <c:pt idx="7">
                  <c:v>2045</c:v>
                </c:pt>
                <c:pt idx="8">
                  <c:v>2050</c:v>
                </c:pt>
                <c:pt idx="9">
                  <c:v>2055</c:v>
                </c:pt>
                <c:pt idx="10">
                  <c:v>2060</c:v>
                </c:pt>
              </c:numCache>
            </c:numRef>
          </c:cat>
          <c:val>
            <c:numRef>
              <c:f>Sheet1!$AH$40:$AH$50</c:f>
              <c:numCache>
                <c:formatCode>General</c:formatCode>
                <c:ptCount val="11"/>
                <c:pt idx="0">
                  <c:v>0.16594999999999999</c:v>
                </c:pt>
                <c:pt idx="1">
                  <c:v>0.16405</c:v>
                </c:pt>
                <c:pt idx="2">
                  <c:v>0.16730999999999999</c:v>
                </c:pt>
                <c:pt idx="3">
                  <c:v>0.18481</c:v>
                </c:pt>
                <c:pt idx="4">
                  <c:v>0.20877999999999999</c:v>
                </c:pt>
                <c:pt idx="5">
                  <c:v>0.23910999999999999</c:v>
                </c:pt>
                <c:pt idx="6">
                  <c:v>0.27494000000000002</c:v>
                </c:pt>
                <c:pt idx="7">
                  <c:v>0.31402999999999998</c:v>
                </c:pt>
                <c:pt idx="8">
                  <c:v>0.35</c:v>
                </c:pt>
                <c:pt idx="9">
                  <c:v>0.35</c:v>
                </c:pt>
                <c:pt idx="10">
                  <c:v>0.35</c:v>
                </c:pt>
              </c:numCache>
            </c:numRef>
          </c:val>
          <c:smooth val="0"/>
        </c:ser>
        <c:ser>
          <c:idx val="1"/>
          <c:order val="1"/>
          <c:tx>
            <c:strRef>
              <c:f>Sheet1!$AI$1</c:f>
              <c:strCache>
                <c:ptCount val="1"/>
                <c:pt idx="0">
                  <c:v>TAX /GDP</c:v>
                </c:pt>
              </c:strCache>
            </c:strRef>
          </c:tx>
          <c:spPr>
            <a:ln w="28575" cap="rnd">
              <a:solidFill>
                <a:schemeClr val="accent2"/>
              </a:solidFill>
              <a:round/>
            </a:ln>
            <a:effectLst/>
          </c:spPr>
          <c:marker>
            <c:symbol val="none"/>
          </c:marker>
          <c:cat>
            <c:numRef>
              <c:f>Sheet1!$B$40:$B$50</c:f>
              <c:numCache>
                <c:formatCode>General</c:formatCode>
                <c:ptCount val="11"/>
                <c:pt idx="0">
                  <c:v>2011</c:v>
                </c:pt>
                <c:pt idx="1">
                  <c:v>2015</c:v>
                </c:pt>
                <c:pt idx="2">
                  <c:v>2020</c:v>
                </c:pt>
                <c:pt idx="3">
                  <c:v>2025</c:v>
                </c:pt>
                <c:pt idx="4">
                  <c:v>2030</c:v>
                </c:pt>
                <c:pt idx="5">
                  <c:v>2035</c:v>
                </c:pt>
                <c:pt idx="6">
                  <c:v>2040</c:v>
                </c:pt>
                <c:pt idx="7">
                  <c:v>2045</c:v>
                </c:pt>
                <c:pt idx="8">
                  <c:v>2050</c:v>
                </c:pt>
                <c:pt idx="9">
                  <c:v>2055</c:v>
                </c:pt>
                <c:pt idx="10">
                  <c:v>2060</c:v>
                </c:pt>
              </c:numCache>
            </c:numRef>
          </c:cat>
          <c:val>
            <c:numRef>
              <c:f>Sheet1!$AI$40:$AI$50</c:f>
              <c:numCache>
                <c:formatCode>General</c:formatCode>
                <c:ptCount val="11"/>
                <c:pt idx="0">
                  <c:v>0.18665000000000001</c:v>
                </c:pt>
                <c:pt idx="1">
                  <c:v>0.18917</c:v>
                </c:pt>
                <c:pt idx="2">
                  <c:v>0.19608</c:v>
                </c:pt>
                <c:pt idx="3">
                  <c:v>0.21415000000000001</c:v>
                </c:pt>
                <c:pt idx="4">
                  <c:v>0.23319999999999999</c:v>
                </c:pt>
                <c:pt idx="5">
                  <c:v>0.25274000000000002</c:v>
                </c:pt>
                <c:pt idx="6">
                  <c:v>0.27217000000000002</c:v>
                </c:pt>
                <c:pt idx="7">
                  <c:v>0.29077999999999998</c:v>
                </c:pt>
                <c:pt idx="8">
                  <c:v>0.30875000000000002</c:v>
                </c:pt>
                <c:pt idx="9">
                  <c:v>0.32623000000000002</c:v>
                </c:pt>
                <c:pt idx="10">
                  <c:v>0.3427</c:v>
                </c:pt>
              </c:numCache>
            </c:numRef>
          </c:val>
          <c:smooth val="0"/>
        </c:ser>
        <c:ser>
          <c:idx val="2"/>
          <c:order val="2"/>
          <c:tx>
            <c:strRef>
              <c:f>Sheet1!$AJ$1</c:f>
              <c:strCache>
                <c:ptCount val="1"/>
                <c:pt idx="0">
                  <c:v>TGD/GDP</c:v>
                </c:pt>
              </c:strCache>
            </c:strRef>
          </c:tx>
          <c:spPr>
            <a:ln w="28575" cap="rnd">
              <a:solidFill>
                <a:schemeClr val="accent3"/>
              </a:solidFill>
              <a:round/>
            </a:ln>
            <a:effectLst/>
          </c:spPr>
          <c:marker>
            <c:symbol val="none"/>
          </c:marker>
          <c:cat>
            <c:numRef>
              <c:f>Sheet1!$B$40:$B$50</c:f>
              <c:numCache>
                <c:formatCode>General</c:formatCode>
                <c:ptCount val="11"/>
                <c:pt idx="0">
                  <c:v>2011</c:v>
                </c:pt>
                <c:pt idx="1">
                  <c:v>2015</c:v>
                </c:pt>
                <c:pt idx="2">
                  <c:v>2020</c:v>
                </c:pt>
                <c:pt idx="3">
                  <c:v>2025</c:v>
                </c:pt>
                <c:pt idx="4">
                  <c:v>2030</c:v>
                </c:pt>
                <c:pt idx="5">
                  <c:v>2035</c:v>
                </c:pt>
                <c:pt idx="6">
                  <c:v>2040</c:v>
                </c:pt>
                <c:pt idx="7">
                  <c:v>2045</c:v>
                </c:pt>
                <c:pt idx="8">
                  <c:v>2050</c:v>
                </c:pt>
                <c:pt idx="9">
                  <c:v>2055</c:v>
                </c:pt>
                <c:pt idx="10">
                  <c:v>2060</c:v>
                </c:pt>
              </c:numCache>
            </c:numRef>
          </c:cat>
          <c:val>
            <c:numRef>
              <c:f>Sheet1!$AJ$40:$AJ$50</c:f>
              <c:numCache>
                <c:formatCode>General</c:formatCode>
                <c:ptCount val="11"/>
                <c:pt idx="0">
                  <c:v>-2.0700000000000024E-2</c:v>
                </c:pt>
                <c:pt idx="1">
                  <c:v>-2.5120000000000003E-2</c:v>
                </c:pt>
                <c:pt idx="2">
                  <c:v>-2.8770000000000018E-2</c:v>
                </c:pt>
                <c:pt idx="3">
                  <c:v>-2.9340000000000005E-2</c:v>
                </c:pt>
                <c:pt idx="4">
                  <c:v>-2.4419999999999997E-2</c:v>
                </c:pt>
                <c:pt idx="5">
                  <c:v>-1.3630000000000031E-2</c:v>
                </c:pt>
                <c:pt idx="6">
                  <c:v>2.7699999999999947E-3</c:v>
                </c:pt>
                <c:pt idx="7">
                  <c:v>2.3249999999999993E-2</c:v>
                </c:pt>
                <c:pt idx="8">
                  <c:v>4.1249999999999953E-2</c:v>
                </c:pt>
                <c:pt idx="9">
                  <c:v>2.3769999999999958E-2</c:v>
                </c:pt>
                <c:pt idx="10">
                  <c:v>7.2999999999999732E-3</c:v>
                </c:pt>
              </c:numCache>
            </c:numRef>
          </c:val>
          <c:smooth val="0"/>
        </c:ser>
        <c:dLbls>
          <c:showLegendKey val="0"/>
          <c:showVal val="0"/>
          <c:showCatName val="0"/>
          <c:showSerName val="0"/>
          <c:showPercent val="0"/>
          <c:showBubbleSize val="0"/>
        </c:dLbls>
        <c:marker val="1"/>
        <c:smooth val="0"/>
        <c:axId val="284562944"/>
        <c:axId val="284564480"/>
      </c:lineChart>
      <c:catAx>
        <c:axId val="28456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4564480"/>
        <c:crosses val="autoZero"/>
        <c:auto val="1"/>
        <c:lblAlgn val="ctr"/>
        <c:lblOffset val="100"/>
        <c:noMultiLvlLbl val="0"/>
      </c:catAx>
      <c:valAx>
        <c:axId val="284564480"/>
        <c:scaling>
          <c:orientation val="minMax"/>
          <c:max val="0.5"/>
          <c:min val="-0.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4562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a:t>AG/GDP</a:t>
            </a:r>
          </a:p>
        </c:rich>
      </c:tx>
      <c:overlay val="0"/>
      <c:spPr>
        <a:noFill/>
        <a:ln>
          <a:noFill/>
        </a:ln>
        <a:effectLst/>
      </c:spPr>
    </c:title>
    <c:autoTitleDeleted val="0"/>
    <c:plotArea>
      <c:layout/>
      <c:lineChart>
        <c:grouping val="standard"/>
        <c:varyColors val="0"/>
        <c:ser>
          <c:idx val="0"/>
          <c:order val="0"/>
          <c:tx>
            <c:v>Capital_no consts</c:v>
          </c:tx>
          <c:spPr>
            <a:ln w="28575" cap="rnd">
              <a:solidFill>
                <a:schemeClr val="accent1"/>
              </a:solidFill>
              <a:round/>
            </a:ln>
            <a:effectLst/>
          </c:spPr>
          <c:marker>
            <c:symbol val="none"/>
          </c:marker>
          <c:cat>
            <c:numRef>
              <c:f>Sheet2!$B$2:$B$12</c:f>
              <c:numCache>
                <c:formatCode>General</c:formatCode>
                <c:ptCount val="11"/>
                <c:pt idx="0">
                  <c:v>2011</c:v>
                </c:pt>
                <c:pt idx="1">
                  <c:v>2015</c:v>
                </c:pt>
                <c:pt idx="2">
                  <c:v>2020</c:v>
                </c:pt>
                <c:pt idx="3">
                  <c:v>2025</c:v>
                </c:pt>
                <c:pt idx="4">
                  <c:v>2030</c:v>
                </c:pt>
                <c:pt idx="5">
                  <c:v>2035</c:v>
                </c:pt>
                <c:pt idx="6">
                  <c:v>2040</c:v>
                </c:pt>
                <c:pt idx="7">
                  <c:v>2045</c:v>
                </c:pt>
                <c:pt idx="8">
                  <c:v>2050</c:v>
                </c:pt>
                <c:pt idx="9">
                  <c:v>2055</c:v>
                </c:pt>
                <c:pt idx="10">
                  <c:v>2060</c:v>
                </c:pt>
              </c:numCache>
            </c:numRef>
          </c:cat>
          <c:val>
            <c:numRef>
              <c:f>Sheet2!$AY$2:$AY$12</c:f>
              <c:numCache>
                <c:formatCode>General</c:formatCode>
                <c:ptCount val="11"/>
                <c:pt idx="0">
                  <c:v>1.753E-2</c:v>
                </c:pt>
                <c:pt idx="1">
                  <c:v>0.10630000000000001</c:v>
                </c:pt>
                <c:pt idx="2">
                  <c:v>0.21642</c:v>
                </c:pt>
                <c:pt idx="3">
                  <c:v>0.33190999999999998</c:v>
                </c:pt>
                <c:pt idx="4">
                  <c:v>0.44596999999999998</c:v>
                </c:pt>
                <c:pt idx="5">
                  <c:v>0.55457000000000001</c:v>
                </c:pt>
                <c:pt idx="6">
                  <c:v>0.65502000000000005</c:v>
                </c:pt>
                <c:pt idx="7">
                  <c:v>0.74141999999999997</c:v>
                </c:pt>
                <c:pt idx="8">
                  <c:v>0.81403999999999999</c:v>
                </c:pt>
                <c:pt idx="9">
                  <c:v>0.85941000000000001</c:v>
                </c:pt>
                <c:pt idx="10">
                  <c:v>0.86112999999999995</c:v>
                </c:pt>
              </c:numCache>
            </c:numRef>
          </c:val>
          <c:smooth val="0"/>
        </c:ser>
        <c:ser>
          <c:idx val="1"/>
          <c:order val="1"/>
          <c:tx>
            <c:v>Social_const</c:v>
          </c:tx>
          <c:spPr>
            <a:ln w="28575" cap="rnd">
              <a:solidFill>
                <a:schemeClr val="accent2"/>
              </a:solidFill>
              <a:round/>
            </a:ln>
            <a:effectLst/>
          </c:spPr>
          <c:marker>
            <c:symbol val="none"/>
          </c:marker>
          <c:cat>
            <c:numRef>
              <c:f>Sheet2!$B$2:$B$12</c:f>
              <c:numCache>
                <c:formatCode>General</c:formatCode>
                <c:ptCount val="11"/>
                <c:pt idx="0">
                  <c:v>2011</c:v>
                </c:pt>
                <c:pt idx="1">
                  <c:v>2015</c:v>
                </c:pt>
                <c:pt idx="2">
                  <c:v>2020</c:v>
                </c:pt>
                <c:pt idx="3">
                  <c:v>2025</c:v>
                </c:pt>
                <c:pt idx="4">
                  <c:v>2030</c:v>
                </c:pt>
                <c:pt idx="5">
                  <c:v>2035</c:v>
                </c:pt>
                <c:pt idx="6">
                  <c:v>2040</c:v>
                </c:pt>
                <c:pt idx="7">
                  <c:v>2045</c:v>
                </c:pt>
                <c:pt idx="8">
                  <c:v>2050</c:v>
                </c:pt>
                <c:pt idx="9">
                  <c:v>2055</c:v>
                </c:pt>
                <c:pt idx="10">
                  <c:v>2060</c:v>
                </c:pt>
              </c:numCache>
            </c:numRef>
          </c:cat>
          <c:val>
            <c:numRef>
              <c:f>Sheet2!$DP$2:$DP$12</c:f>
              <c:numCache>
                <c:formatCode>General</c:formatCode>
                <c:ptCount val="11"/>
                <c:pt idx="0">
                  <c:v>1.753E-2</c:v>
                </c:pt>
                <c:pt idx="1">
                  <c:v>0.10630000000000001</c:v>
                </c:pt>
                <c:pt idx="2">
                  <c:v>0.21609</c:v>
                </c:pt>
                <c:pt idx="3">
                  <c:v>0.32296000000000002</c:v>
                </c:pt>
                <c:pt idx="4">
                  <c:v>0.41071000000000002</c:v>
                </c:pt>
                <c:pt idx="5">
                  <c:v>0.46455000000000002</c:v>
                </c:pt>
                <c:pt idx="6">
                  <c:v>0.46722000000000002</c:v>
                </c:pt>
                <c:pt idx="7">
                  <c:v>0.39601999999999998</c:v>
                </c:pt>
                <c:pt idx="8">
                  <c:v>0.23458999999999999</c:v>
                </c:pt>
                <c:pt idx="9">
                  <c:v>9.5509999999999998E-2</c:v>
                </c:pt>
                <c:pt idx="10">
                  <c:v>3.3570000000000003E-2</c:v>
                </c:pt>
              </c:numCache>
            </c:numRef>
          </c:val>
          <c:smooth val="0"/>
        </c:ser>
        <c:ser>
          <c:idx val="2"/>
          <c:order val="2"/>
          <c:tx>
            <c:v>Social_no const</c:v>
          </c:tx>
          <c:spPr>
            <a:ln w="28575" cap="rnd">
              <a:solidFill>
                <a:schemeClr val="accent3"/>
              </a:solidFill>
              <a:round/>
            </a:ln>
            <a:effectLst/>
          </c:spPr>
          <c:marker>
            <c:symbol val="none"/>
          </c:marker>
          <c:cat>
            <c:numRef>
              <c:f>Sheet2!$B$2:$B$12</c:f>
              <c:numCache>
                <c:formatCode>General</c:formatCode>
                <c:ptCount val="11"/>
                <c:pt idx="0">
                  <c:v>2011</c:v>
                </c:pt>
                <c:pt idx="1">
                  <c:v>2015</c:v>
                </c:pt>
                <c:pt idx="2">
                  <c:v>2020</c:v>
                </c:pt>
                <c:pt idx="3">
                  <c:v>2025</c:v>
                </c:pt>
                <c:pt idx="4">
                  <c:v>2030</c:v>
                </c:pt>
                <c:pt idx="5">
                  <c:v>2035</c:v>
                </c:pt>
                <c:pt idx="6">
                  <c:v>2040</c:v>
                </c:pt>
                <c:pt idx="7">
                  <c:v>2045</c:v>
                </c:pt>
                <c:pt idx="8">
                  <c:v>2050</c:v>
                </c:pt>
                <c:pt idx="9">
                  <c:v>2055</c:v>
                </c:pt>
                <c:pt idx="10">
                  <c:v>2060</c:v>
                </c:pt>
              </c:numCache>
            </c:numRef>
          </c:cat>
          <c:val>
            <c:numRef>
              <c:f>Sheet2!$GG$2:$GG$12</c:f>
              <c:numCache>
                <c:formatCode>General</c:formatCode>
                <c:ptCount val="11"/>
                <c:pt idx="0">
                  <c:v>1.753E-2</c:v>
                </c:pt>
                <c:pt idx="1">
                  <c:v>0.10630000000000001</c:v>
                </c:pt>
                <c:pt idx="2">
                  <c:v>0.21609</c:v>
                </c:pt>
                <c:pt idx="3">
                  <c:v>0.32296000000000002</c:v>
                </c:pt>
                <c:pt idx="4">
                  <c:v>0.41071000000000002</c:v>
                </c:pt>
                <c:pt idx="5">
                  <c:v>0.46455000000000002</c:v>
                </c:pt>
                <c:pt idx="6">
                  <c:v>0.46722000000000002</c:v>
                </c:pt>
                <c:pt idx="7">
                  <c:v>0.39601999999999998</c:v>
                </c:pt>
                <c:pt idx="8">
                  <c:v>0.22972999999999999</c:v>
                </c:pt>
                <c:pt idx="9">
                  <c:v>-6.3149999999999998E-2</c:v>
                </c:pt>
                <c:pt idx="10">
                  <c:v>-0.51119999999999999</c:v>
                </c:pt>
              </c:numCache>
            </c:numRef>
          </c:val>
          <c:smooth val="0"/>
        </c:ser>
        <c:ser>
          <c:idx val="3"/>
          <c:order val="3"/>
          <c:tx>
            <c:v>Status quo</c:v>
          </c:tx>
          <c:spPr>
            <a:ln w="28575" cap="rnd">
              <a:solidFill>
                <a:schemeClr val="accent4"/>
              </a:solidFill>
              <a:round/>
            </a:ln>
            <a:effectLst/>
          </c:spPr>
          <c:marker>
            <c:symbol val="none"/>
          </c:marker>
          <c:cat>
            <c:numRef>
              <c:f>Sheet2!$B$2:$B$12</c:f>
              <c:numCache>
                <c:formatCode>General</c:formatCode>
                <c:ptCount val="11"/>
                <c:pt idx="0">
                  <c:v>2011</c:v>
                </c:pt>
                <c:pt idx="1">
                  <c:v>2015</c:v>
                </c:pt>
                <c:pt idx="2">
                  <c:v>2020</c:v>
                </c:pt>
                <c:pt idx="3">
                  <c:v>2025</c:v>
                </c:pt>
                <c:pt idx="4">
                  <c:v>2030</c:v>
                </c:pt>
                <c:pt idx="5">
                  <c:v>2035</c:v>
                </c:pt>
                <c:pt idx="6">
                  <c:v>2040</c:v>
                </c:pt>
                <c:pt idx="7">
                  <c:v>2045</c:v>
                </c:pt>
                <c:pt idx="8">
                  <c:v>2050</c:v>
                </c:pt>
                <c:pt idx="9">
                  <c:v>2055</c:v>
                </c:pt>
                <c:pt idx="10">
                  <c:v>2060</c:v>
                </c:pt>
              </c:numCache>
            </c:numRef>
          </c:cat>
          <c:val>
            <c:numRef>
              <c:f>Sheet2!$IX$2:$IX$12</c:f>
              <c:numCache>
                <c:formatCode>General</c:formatCode>
                <c:ptCount val="11"/>
                <c:pt idx="0">
                  <c:v>1.753E-2</c:v>
                </c:pt>
                <c:pt idx="1">
                  <c:v>0.10630000000000001</c:v>
                </c:pt>
                <c:pt idx="2">
                  <c:v>0.21595</c:v>
                </c:pt>
                <c:pt idx="3">
                  <c:v>0.32507999999999998</c:v>
                </c:pt>
                <c:pt idx="4">
                  <c:v>0.43378</c:v>
                </c:pt>
                <c:pt idx="5">
                  <c:v>0.54793999999999998</c:v>
                </c:pt>
                <c:pt idx="6">
                  <c:v>0.67476999999999998</c:v>
                </c:pt>
                <c:pt idx="7">
                  <c:v>0.81911999999999996</c:v>
                </c:pt>
                <c:pt idx="8">
                  <c:v>0.99287999999999998</c:v>
                </c:pt>
                <c:pt idx="9">
                  <c:v>1.1926300000000001</c:v>
                </c:pt>
                <c:pt idx="10">
                  <c:v>1.4117999999999999</c:v>
                </c:pt>
              </c:numCache>
            </c:numRef>
          </c:val>
          <c:smooth val="0"/>
        </c:ser>
        <c:dLbls>
          <c:showLegendKey val="0"/>
          <c:showVal val="0"/>
          <c:showCatName val="0"/>
          <c:showSerName val="0"/>
          <c:showPercent val="0"/>
          <c:showBubbleSize val="0"/>
        </c:dLbls>
        <c:marker val="1"/>
        <c:smooth val="0"/>
        <c:axId val="284677632"/>
        <c:axId val="284679168"/>
      </c:lineChart>
      <c:catAx>
        <c:axId val="28467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4679168"/>
        <c:crosses val="autoZero"/>
        <c:auto val="1"/>
        <c:lblAlgn val="ctr"/>
        <c:lblOffset val="100"/>
        <c:noMultiLvlLbl val="0"/>
      </c:catAx>
      <c:valAx>
        <c:axId val="284679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4677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a:t>RAG/GDP</a:t>
            </a:r>
          </a:p>
        </c:rich>
      </c:tx>
      <c:overlay val="0"/>
      <c:spPr>
        <a:noFill/>
        <a:ln>
          <a:noFill/>
        </a:ln>
        <a:effectLst/>
      </c:spPr>
    </c:title>
    <c:autoTitleDeleted val="0"/>
    <c:plotArea>
      <c:layout/>
      <c:lineChart>
        <c:grouping val="standard"/>
        <c:varyColors val="0"/>
        <c:ser>
          <c:idx val="0"/>
          <c:order val="0"/>
          <c:tx>
            <c:v>Capital_no consts</c:v>
          </c:tx>
          <c:spPr>
            <a:ln w="28575" cap="rnd">
              <a:solidFill>
                <a:schemeClr val="accent1"/>
              </a:solidFill>
              <a:round/>
            </a:ln>
            <a:effectLst/>
          </c:spPr>
          <c:marker>
            <c:symbol val="none"/>
          </c:marker>
          <c:cat>
            <c:numRef>
              <c:f>Sheet2!$B$2:$B$12</c:f>
              <c:numCache>
                <c:formatCode>General</c:formatCode>
                <c:ptCount val="11"/>
                <c:pt idx="0">
                  <c:v>2011</c:v>
                </c:pt>
                <c:pt idx="1">
                  <c:v>2015</c:v>
                </c:pt>
                <c:pt idx="2">
                  <c:v>2020</c:v>
                </c:pt>
                <c:pt idx="3">
                  <c:v>2025</c:v>
                </c:pt>
                <c:pt idx="4">
                  <c:v>2030</c:v>
                </c:pt>
                <c:pt idx="5">
                  <c:v>2035</c:v>
                </c:pt>
                <c:pt idx="6">
                  <c:v>2040</c:v>
                </c:pt>
                <c:pt idx="7">
                  <c:v>2045</c:v>
                </c:pt>
                <c:pt idx="8">
                  <c:v>2050</c:v>
                </c:pt>
                <c:pt idx="9">
                  <c:v>2055</c:v>
                </c:pt>
                <c:pt idx="10">
                  <c:v>2060</c:v>
                </c:pt>
              </c:numCache>
            </c:numRef>
          </c:cat>
          <c:val>
            <c:numRef>
              <c:f>Sheet2!$V$2:$V$12</c:f>
              <c:numCache>
                <c:formatCode>General</c:formatCode>
                <c:ptCount val="11"/>
                <c:pt idx="0">
                  <c:v>-2.0879999999999999E-2</c:v>
                </c:pt>
                <c:pt idx="1">
                  <c:v>-2.528E-2</c:v>
                </c:pt>
                <c:pt idx="2">
                  <c:v>-2.9270000000000001E-2</c:v>
                </c:pt>
                <c:pt idx="3">
                  <c:v>-3.2579999999999998E-2</c:v>
                </c:pt>
                <c:pt idx="4">
                  <c:v>-3.245E-2</c:v>
                </c:pt>
                <c:pt idx="5">
                  <c:v>-2.8850000000000001E-2</c:v>
                </c:pt>
                <c:pt idx="6">
                  <c:v>-2.2089999999999999E-2</c:v>
                </c:pt>
                <c:pt idx="7">
                  <c:v>-1.3010000000000001E-2</c:v>
                </c:pt>
                <c:pt idx="8">
                  <c:v>-2.7899999999999999E-3</c:v>
                </c:pt>
                <c:pt idx="9">
                  <c:v>8.1300000000000001E-3</c:v>
                </c:pt>
                <c:pt idx="10">
                  <c:v>1.9460000000000002E-2</c:v>
                </c:pt>
              </c:numCache>
            </c:numRef>
          </c:val>
          <c:smooth val="0"/>
        </c:ser>
        <c:ser>
          <c:idx val="1"/>
          <c:order val="1"/>
          <c:tx>
            <c:v>Social_const</c:v>
          </c:tx>
          <c:spPr>
            <a:ln w="28575" cap="rnd">
              <a:solidFill>
                <a:schemeClr val="accent2"/>
              </a:solidFill>
              <a:round/>
            </a:ln>
            <a:effectLst/>
          </c:spPr>
          <c:marker>
            <c:symbol val="none"/>
          </c:marker>
          <c:cat>
            <c:numRef>
              <c:f>Sheet2!$B$2:$B$12</c:f>
              <c:numCache>
                <c:formatCode>General</c:formatCode>
                <c:ptCount val="11"/>
                <c:pt idx="0">
                  <c:v>2011</c:v>
                </c:pt>
                <c:pt idx="1">
                  <c:v>2015</c:v>
                </c:pt>
                <c:pt idx="2">
                  <c:v>2020</c:v>
                </c:pt>
                <c:pt idx="3">
                  <c:v>2025</c:v>
                </c:pt>
                <c:pt idx="4">
                  <c:v>2030</c:v>
                </c:pt>
                <c:pt idx="5">
                  <c:v>2035</c:v>
                </c:pt>
                <c:pt idx="6">
                  <c:v>2040</c:v>
                </c:pt>
                <c:pt idx="7">
                  <c:v>2045</c:v>
                </c:pt>
                <c:pt idx="8">
                  <c:v>2050</c:v>
                </c:pt>
                <c:pt idx="9">
                  <c:v>2055</c:v>
                </c:pt>
                <c:pt idx="10">
                  <c:v>2060</c:v>
                </c:pt>
              </c:numCache>
            </c:numRef>
          </c:cat>
          <c:val>
            <c:numRef>
              <c:f>Sheet2!$CM$2:$CM$12</c:f>
              <c:numCache>
                <c:formatCode>General</c:formatCode>
                <c:ptCount val="11"/>
                <c:pt idx="0">
                  <c:v>-2.0879999999999999E-2</c:v>
                </c:pt>
                <c:pt idx="1">
                  <c:v>-2.528E-2</c:v>
                </c:pt>
                <c:pt idx="2">
                  <c:v>-2.894E-2</c:v>
                </c:pt>
                <c:pt idx="3">
                  <c:v>-2.9530000000000001E-2</c:v>
                </c:pt>
                <c:pt idx="4">
                  <c:v>-2.4629999999999999E-2</c:v>
                </c:pt>
                <c:pt idx="5">
                  <c:v>-1.387E-2</c:v>
                </c:pt>
                <c:pt idx="6">
                  <c:v>2.5000000000000001E-3</c:v>
                </c:pt>
                <c:pt idx="7">
                  <c:v>2.2929999999999999E-2</c:v>
                </c:pt>
                <c:pt idx="8">
                  <c:v>4.0890000000000003E-2</c:v>
                </c:pt>
                <c:pt idx="9">
                  <c:v>2.342E-2</c:v>
                </c:pt>
                <c:pt idx="10">
                  <c:v>6.9499999999999996E-3</c:v>
                </c:pt>
              </c:numCache>
            </c:numRef>
          </c:val>
          <c:smooth val="0"/>
        </c:ser>
        <c:ser>
          <c:idx val="2"/>
          <c:order val="2"/>
          <c:tx>
            <c:v>Social_no const</c:v>
          </c:tx>
          <c:spPr>
            <a:ln w="28575" cap="rnd">
              <a:solidFill>
                <a:schemeClr val="accent3"/>
              </a:solidFill>
              <a:round/>
            </a:ln>
            <a:effectLst/>
          </c:spPr>
          <c:marker>
            <c:symbol val="none"/>
          </c:marker>
          <c:cat>
            <c:numRef>
              <c:f>Sheet2!$B$2:$B$12</c:f>
              <c:numCache>
                <c:formatCode>General</c:formatCode>
                <c:ptCount val="11"/>
                <c:pt idx="0">
                  <c:v>2011</c:v>
                </c:pt>
                <c:pt idx="1">
                  <c:v>2015</c:v>
                </c:pt>
                <c:pt idx="2">
                  <c:v>2020</c:v>
                </c:pt>
                <c:pt idx="3">
                  <c:v>2025</c:v>
                </c:pt>
                <c:pt idx="4">
                  <c:v>2030</c:v>
                </c:pt>
                <c:pt idx="5">
                  <c:v>2035</c:v>
                </c:pt>
                <c:pt idx="6">
                  <c:v>2040</c:v>
                </c:pt>
                <c:pt idx="7">
                  <c:v>2045</c:v>
                </c:pt>
                <c:pt idx="8">
                  <c:v>2050</c:v>
                </c:pt>
                <c:pt idx="9">
                  <c:v>2055</c:v>
                </c:pt>
                <c:pt idx="10">
                  <c:v>2060</c:v>
                </c:pt>
              </c:numCache>
            </c:numRef>
          </c:cat>
          <c:val>
            <c:numRef>
              <c:f>Sheet2!$FD$2:$FD$12</c:f>
              <c:numCache>
                <c:formatCode>General</c:formatCode>
                <c:ptCount val="11"/>
                <c:pt idx="0">
                  <c:v>-2.0879999999999999E-2</c:v>
                </c:pt>
                <c:pt idx="1">
                  <c:v>-2.528E-2</c:v>
                </c:pt>
                <c:pt idx="2">
                  <c:v>-2.894E-2</c:v>
                </c:pt>
                <c:pt idx="3">
                  <c:v>-2.9530000000000001E-2</c:v>
                </c:pt>
                <c:pt idx="4">
                  <c:v>-2.4629999999999999E-2</c:v>
                </c:pt>
                <c:pt idx="5">
                  <c:v>-1.387E-2</c:v>
                </c:pt>
                <c:pt idx="6">
                  <c:v>2.5000000000000001E-3</c:v>
                </c:pt>
                <c:pt idx="7">
                  <c:v>2.2929999999999999E-2</c:v>
                </c:pt>
                <c:pt idx="8">
                  <c:v>4.5760000000000002E-2</c:v>
                </c:pt>
                <c:pt idx="9">
                  <c:v>7.034E-2</c:v>
                </c:pt>
                <c:pt idx="10">
                  <c:v>9.554E-2</c:v>
                </c:pt>
              </c:numCache>
            </c:numRef>
          </c:val>
          <c:smooth val="0"/>
        </c:ser>
        <c:ser>
          <c:idx val="3"/>
          <c:order val="3"/>
          <c:tx>
            <c:v>Status quo</c:v>
          </c:tx>
          <c:spPr>
            <a:ln w="28575" cap="rnd">
              <a:solidFill>
                <a:schemeClr val="accent4"/>
              </a:solidFill>
              <a:round/>
            </a:ln>
            <a:effectLst/>
          </c:spPr>
          <c:marker>
            <c:symbol val="none"/>
          </c:marker>
          <c:cat>
            <c:numRef>
              <c:f>Sheet2!$B$2:$B$12</c:f>
              <c:numCache>
                <c:formatCode>General</c:formatCode>
                <c:ptCount val="11"/>
                <c:pt idx="0">
                  <c:v>2011</c:v>
                </c:pt>
                <c:pt idx="1">
                  <c:v>2015</c:v>
                </c:pt>
                <c:pt idx="2">
                  <c:v>2020</c:v>
                </c:pt>
                <c:pt idx="3">
                  <c:v>2025</c:v>
                </c:pt>
                <c:pt idx="4">
                  <c:v>2030</c:v>
                </c:pt>
                <c:pt idx="5">
                  <c:v>2035</c:v>
                </c:pt>
                <c:pt idx="6">
                  <c:v>2040</c:v>
                </c:pt>
                <c:pt idx="7">
                  <c:v>2045</c:v>
                </c:pt>
                <c:pt idx="8">
                  <c:v>2050</c:v>
                </c:pt>
                <c:pt idx="9">
                  <c:v>2055</c:v>
                </c:pt>
                <c:pt idx="10">
                  <c:v>2060</c:v>
                </c:pt>
              </c:numCache>
            </c:numRef>
          </c:cat>
          <c:val>
            <c:numRef>
              <c:f>Sheet2!$HU$2:$HU$12</c:f>
              <c:numCache>
                <c:formatCode>General</c:formatCode>
                <c:ptCount val="11"/>
                <c:pt idx="0">
                  <c:v>-2.0879999999999999E-2</c:v>
                </c:pt>
                <c:pt idx="1">
                  <c:v>-2.528E-2</c:v>
                </c:pt>
                <c:pt idx="2">
                  <c:v>-2.8799999999999999E-2</c:v>
                </c:pt>
                <c:pt idx="3">
                  <c:v>-3.0890000000000001E-2</c:v>
                </c:pt>
                <c:pt idx="4">
                  <c:v>-3.1660000000000001E-2</c:v>
                </c:pt>
                <c:pt idx="5">
                  <c:v>-3.1179999999999999E-2</c:v>
                </c:pt>
                <c:pt idx="6">
                  <c:v>-2.9590000000000002E-2</c:v>
                </c:pt>
                <c:pt idx="7">
                  <c:v>-2.7400000000000001E-2</c:v>
                </c:pt>
                <c:pt idx="8">
                  <c:v>-2.4989999999999998E-2</c:v>
                </c:pt>
                <c:pt idx="9">
                  <c:v>-2.2499999999999999E-2</c:v>
                </c:pt>
                <c:pt idx="10">
                  <c:v>-2.0279999999999999E-2</c:v>
                </c:pt>
              </c:numCache>
            </c:numRef>
          </c:val>
          <c:smooth val="0"/>
        </c:ser>
        <c:dLbls>
          <c:showLegendKey val="0"/>
          <c:showVal val="0"/>
          <c:showCatName val="0"/>
          <c:showSerName val="0"/>
          <c:showPercent val="0"/>
          <c:showBubbleSize val="0"/>
        </c:dLbls>
        <c:marker val="1"/>
        <c:smooth val="0"/>
        <c:axId val="284952064"/>
        <c:axId val="284953600"/>
      </c:lineChart>
      <c:catAx>
        <c:axId val="284952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4953600"/>
        <c:crosses val="autoZero"/>
        <c:auto val="1"/>
        <c:lblAlgn val="ctr"/>
        <c:lblOffset val="100"/>
        <c:noMultiLvlLbl val="0"/>
      </c:catAx>
      <c:valAx>
        <c:axId val="284953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4952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a:t>YAG/GDP</a:t>
            </a:r>
          </a:p>
        </c:rich>
      </c:tx>
      <c:overlay val="0"/>
      <c:spPr>
        <a:noFill/>
        <a:ln>
          <a:noFill/>
        </a:ln>
        <a:effectLst/>
      </c:spPr>
    </c:title>
    <c:autoTitleDeleted val="0"/>
    <c:plotArea>
      <c:layout/>
      <c:lineChart>
        <c:grouping val="standard"/>
        <c:varyColors val="0"/>
        <c:ser>
          <c:idx val="0"/>
          <c:order val="0"/>
          <c:tx>
            <c:v>Capital_no const</c:v>
          </c:tx>
          <c:spPr>
            <a:ln w="28575" cap="rnd">
              <a:solidFill>
                <a:schemeClr val="accent1"/>
              </a:solidFill>
              <a:round/>
            </a:ln>
            <a:effectLst/>
          </c:spPr>
          <c:marker>
            <c:symbol val="none"/>
          </c:marker>
          <c:cat>
            <c:numRef>
              <c:f>Sheet2!$B$2:$B$12</c:f>
              <c:numCache>
                <c:formatCode>General</c:formatCode>
                <c:ptCount val="11"/>
                <c:pt idx="0">
                  <c:v>2011</c:v>
                </c:pt>
                <c:pt idx="1">
                  <c:v>2015</c:v>
                </c:pt>
                <c:pt idx="2">
                  <c:v>2020</c:v>
                </c:pt>
                <c:pt idx="3">
                  <c:v>2025</c:v>
                </c:pt>
                <c:pt idx="4">
                  <c:v>2030</c:v>
                </c:pt>
                <c:pt idx="5">
                  <c:v>2035</c:v>
                </c:pt>
                <c:pt idx="6">
                  <c:v>2040</c:v>
                </c:pt>
                <c:pt idx="7">
                  <c:v>2045</c:v>
                </c:pt>
                <c:pt idx="8">
                  <c:v>2050</c:v>
                </c:pt>
                <c:pt idx="9">
                  <c:v>2055</c:v>
                </c:pt>
                <c:pt idx="10">
                  <c:v>2060</c:v>
                </c:pt>
              </c:numCache>
            </c:numRef>
          </c:cat>
          <c:val>
            <c:numRef>
              <c:f>Sheet2!$R$2:$R$12</c:f>
              <c:numCache>
                <c:formatCode>General</c:formatCode>
                <c:ptCount val="11"/>
                <c:pt idx="0">
                  <c:v>-1.1E-4</c:v>
                </c:pt>
                <c:pt idx="1">
                  <c:v>2.65E-3</c:v>
                </c:pt>
                <c:pt idx="2">
                  <c:v>6.1199999999999996E-3</c:v>
                </c:pt>
                <c:pt idx="3">
                  <c:v>1.034E-2</c:v>
                </c:pt>
                <c:pt idx="4">
                  <c:v>1.4789999999999999E-2</c:v>
                </c:pt>
                <c:pt idx="5">
                  <c:v>1.89E-2</c:v>
                </c:pt>
                <c:pt idx="6">
                  <c:v>2.2880000000000001E-2</c:v>
                </c:pt>
                <c:pt idx="7">
                  <c:v>2.647E-2</c:v>
                </c:pt>
                <c:pt idx="8">
                  <c:v>2.963E-2</c:v>
                </c:pt>
                <c:pt idx="9">
                  <c:v>3.2259999999999997E-2</c:v>
                </c:pt>
                <c:pt idx="10">
                  <c:v>3.4950000000000002E-2</c:v>
                </c:pt>
              </c:numCache>
            </c:numRef>
          </c:val>
          <c:smooth val="0"/>
        </c:ser>
        <c:ser>
          <c:idx val="1"/>
          <c:order val="1"/>
          <c:tx>
            <c:v>Social const</c:v>
          </c:tx>
          <c:spPr>
            <a:ln w="28575" cap="rnd">
              <a:solidFill>
                <a:schemeClr val="accent2"/>
              </a:solidFill>
              <a:round/>
            </a:ln>
            <a:effectLst/>
          </c:spPr>
          <c:marker>
            <c:symbol val="none"/>
          </c:marker>
          <c:cat>
            <c:numRef>
              <c:f>Sheet2!$B$2:$B$12</c:f>
              <c:numCache>
                <c:formatCode>General</c:formatCode>
                <c:ptCount val="11"/>
                <c:pt idx="0">
                  <c:v>2011</c:v>
                </c:pt>
                <c:pt idx="1">
                  <c:v>2015</c:v>
                </c:pt>
                <c:pt idx="2">
                  <c:v>2020</c:v>
                </c:pt>
                <c:pt idx="3">
                  <c:v>2025</c:v>
                </c:pt>
                <c:pt idx="4">
                  <c:v>2030</c:v>
                </c:pt>
                <c:pt idx="5">
                  <c:v>2035</c:v>
                </c:pt>
                <c:pt idx="6">
                  <c:v>2040</c:v>
                </c:pt>
                <c:pt idx="7">
                  <c:v>2045</c:v>
                </c:pt>
                <c:pt idx="8">
                  <c:v>2050</c:v>
                </c:pt>
                <c:pt idx="9">
                  <c:v>2055</c:v>
                </c:pt>
                <c:pt idx="10">
                  <c:v>2060</c:v>
                </c:pt>
              </c:numCache>
            </c:numRef>
          </c:cat>
          <c:val>
            <c:numRef>
              <c:f>Sheet2!$CI$2:$CI$12</c:f>
              <c:numCache>
                <c:formatCode>General</c:formatCode>
                <c:ptCount val="11"/>
                <c:pt idx="0">
                  <c:v>-1.1E-4</c:v>
                </c:pt>
                <c:pt idx="1">
                  <c:v>2.65E-3</c:v>
                </c:pt>
                <c:pt idx="2">
                  <c:v>6.1199999999999996E-3</c:v>
                </c:pt>
                <c:pt idx="3">
                  <c:v>1.013E-2</c:v>
                </c:pt>
                <c:pt idx="4">
                  <c:v>1.38E-2</c:v>
                </c:pt>
                <c:pt idx="5">
                  <c:v>1.6199999999999999E-2</c:v>
                </c:pt>
                <c:pt idx="6">
                  <c:v>1.6979999999999999E-2</c:v>
                </c:pt>
                <c:pt idx="7">
                  <c:v>1.5219999999999999E-2</c:v>
                </c:pt>
                <c:pt idx="8">
                  <c:v>1.0059999999999999E-2</c:v>
                </c:pt>
                <c:pt idx="9">
                  <c:v>4.4200000000000003E-3</c:v>
                </c:pt>
                <c:pt idx="10">
                  <c:v>1.6100000000000001E-3</c:v>
                </c:pt>
              </c:numCache>
            </c:numRef>
          </c:val>
          <c:smooth val="0"/>
        </c:ser>
        <c:ser>
          <c:idx val="2"/>
          <c:order val="2"/>
          <c:tx>
            <c:v>Social_no const</c:v>
          </c:tx>
          <c:spPr>
            <a:ln w="28575" cap="rnd">
              <a:solidFill>
                <a:schemeClr val="accent3"/>
              </a:solidFill>
              <a:round/>
            </a:ln>
            <a:effectLst/>
          </c:spPr>
          <c:marker>
            <c:symbol val="none"/>
          </c:marker>
          <c:cat>
            <c:numRef>
              <c:f>Sheet2!$B$2:$B$12</c:f>
              <c:numCache>
                <c:formatCode>General</c:formatCode>
                <c:ptCount val="11"/>
                <c:pt idx="0">
                  <c:v>2011</c:v>
                </c:pt>
                <c:pt idx="1">
                  <c:v>2015</c:v>
                </c:pt>
                <c:pt idx="2">
                  <c:v>2020</c:v>
                </c:pt>
                <c:pt idx="3">
                  <c:v>2025</c:v>
                </c:pt>
                <c:pt idx="4">
                  <c:v>2030</c:v>
                </c:pt>
                <c:pt idx="5">
                  <c:v>2035</c:v>
                </c:pt>
                <c:pt idx="6">
                  <c:v>2040</c:v>
                </c:pt>
                <c:pt idx="7">
                  <c:v>2045</c:v>
                </c:pt>
                <c:pt idx="8">
                  <c:v>2050</c:v>
                </c:pt>
                <c:pt idx="9">
                  <c:v>2055</c:v>
                </c:pt>
                <c:pt idx="10">
                  <c:v>2060</c:v>
                </c:pt>
              </c:numCache>
            </c:numRef>
          </c:cat>
          <c:val>
            <c:numRef>
              <c:f>Sheet2!$EZ$2:$EZ$12</c:f>
              <c:numCache>
                <c:formatCode>General</c:formatCode>
                <c:ptCount val="11"/>
                <c:pt idx="0">
                  <c:v>-1.1E-4</c:v>
                </c:pt>
                <c:pt idx="1">
                  <c:v>2.65E-3</c:v>
                </c:pt>
                <c:pt idx="2">
                  <c:v>6.1199999999999996E-3</c:v>
                </c:pt>
                <c:pt idx="3">
                  <c:v>1.013E-2</c:v>
                </c:pt>
                <c:pt idx="4">
                  <c:v>1.38E-2</c:v>
                </c:pt>
                <c:pt idx="5">
                  <c:v>1.6199999999999999E-2</c:v>
                </c:pt>
                <c:pt idx="6">
                  <c:v>1.6979999999999999E-2</c:v>
                </c:pt>
                <c:pt idx="7">
                  <c:v>1.5219999999999999E-2</c:v>
                </c:pt>
                <c:pt idx="8">
                  <c:v>1.0059999999999999E-2</c:v>
                </c:pt>
                <c:pt idx="9">
                  <c:v>2.7E-4</c:v>
                </c:pt>
                <c:pt idx="10">
                  <c:v>-1.6500000000000001E-2</c:v>
                </c:pt>
              </c:numCache>
            </c:numRef>
          </c:val>
          <c:smooth val="0"/>
        </c:ser>
        <c:ser>
          <c:idx val="3"/>
          <c:order val="3"/>
          <c:tx>
            <c:v>Status quo</c:v>
          </c:tx>
          <c:spPr>
            <a:ln w="28575" cap="rnd">
              <a:solidFill>
                <a:schemeClr val="accent4"/>
              </a:solidFill>
              <a:round/>
            </a:ln>
            <a:effectLst/>
          </c:spPr>
          <c:marker>
            <c:symbol val="none"/>
          </c:marker>
          <c:cat>
            <c:numRef>
              <c:f>Sheet2!$B$2:$B$12</c:f>
              <c:numCache>
                <c:formatCode>General</c:formatCode>
                <c:ptCount val="11"/>
                <c:pt idx="0">
                  <c:v>2011</c:v>
                </c:pt>
                <c:pt idx="1">
                  <c:v>2015</c:v>
                </c:pt>
                <c:pt idx="2">
                  <c:v>2020</c:v>
                </c:pt>
                <c:pt idx="3">
                  <c:v>2025</c:v>
                </c:pt>
                <c:pt idx="4">
                  <c:v>2030</c:v>
                </c:pt>
                <c:pt idx="5">
                  <c:v>2035</c:v>
                </c:pt>
                <c:pt idx="6">
                  <c:v>2040</c:v>
                </c:pt>
                <c:pt idx="7">
                  <c:v>2045</c:v>
                </c:pt>
                <c:pt idx="8">
                  <c:v>2050</c:v>
                </c:pt>
                <c:pt idx="9">
                  <c:v>2055</c:v>
                </c:pt>
                <c:pt idx="10">
                  <c:v>2060</c:v>
                </c:pt>
              </c:numCache>
            </c:numRef>
          </c:cat>
          <c:val>
            <c:numRef>
              <c:f>Sheet2!$HQ$2:$HQ$12</c:f>
              <c:numCache>
                <c:formatCode>General</c:formatCode>
                <c:ptCount val="11"/>
                <c:pt idx="0">
                  <c:v>-1.1E-4</c:v>
                </c:pt>
                <c:pt idx="1">
                  <c:v>2.65E-3</c:v>
                </c:pt>
                <c:pt idx="2">
                  <c:v>6.1199999999999996E-3</c:v>
                </c:pt>
                <c:pt idx="3">
                  <c:v>1.0160000000000001E-2</c:v>
                </c:pt>
                <c:pt idx="4">
                  <c:v>1.438E-2</c:v>
                </c:pt>
                <c:pt idx="5">
                  <c:v>1.8579999999999999E-2</c:v>
                </c:pt>
                <c:pt idx="6">
                  <c:v>2.332E-2</c:v>
                </c:pt>
                <c:pt idx="7">
                  <c:v>2.877E-2</c:v>
                </c:pt>
                <c:pt idx="8">
                  <c:v>3.5360000000000003E-2</c:v>
                </c:pt>
                <c:pt idx="9">
                  <c:v>4.351E-2</c:v>
                </c:pt>
                <c:pt idx="10">
                  <c:v>5.5230000000000001E-2</c:v>
                </c:pt>
              </c:numCache>
            </c:numRef>
          </c:val>
          <c:smooth val="0"/>
        </c:ser>
        <c:dLbls>
          <c:showLegendKey val="0"/>
          <c:showVal val="0"/>
          <c:showCatName val="0"/>
          <c:showSerName val="0"/>
          <c:showPercent val="0"/>
          <c:showBubbleSize val="0"/>
        </c:dLbls>
        <c:marker val="1"/>
        <c:smooth val="0"/>
        <c:axId val="285025792"/>
        <c:axId val="285027328"/>
      </c:lineChart>
      <c:catAx>
        <c:axId val="28502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5027328"/>
        <c:crosses val="autoZero"/>
        <c:auto val="1"/>
        <c:lblAlgn val="ctr"/>
        <c:lblOffset val="100"/>
        <c:noMultiLvlLbl val="0"/>
      </c:catAx>
      <c:valAx>
        <c:axId val="285027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5025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a:t>SG/GDP</a:t>
            </a:r>
          </a:p>
        </c:rich>
      </c:tx>
      <c:overlay val="0"/>
      <c:spPr>
        <a:noFill/>
        <a:ln>
          <a:noFill/>
        </a:ln>
        <a:effectLst/>
      </c:spPr>
    </c:title>
    <c:autoTitleDeleted val="0"/>
    <c:plotArea>
      <c:layout/>
      <c:lineChart>
        <c:grouping val="standard"/>
        <c:varyColors val="0"/>
        <c:ser>
          <c:idx val="0"/>
          <c:order val="0"/>
          <c:tx>
            <c:v>Capital_no const</c:v>
          </c:tx>
          <c:spPr>
            <a:ln w="28575" cap="rnd">
              <a:solidFill>
                <a:schemeClr val="accent1"/>
              </a:solidFill>
              <a:round/>
            </a:ln>
            <a:effectLst/>
          </c:spPr>
          <c:marker>
            <c:symbol val="none"/>
          </c:marker>
          <c:cat>
            <c:numRef>
              <c:f>Sheet2!$B$2:$B$12</c:f>
              <c:numCache>
                <c:formatCode>General</c:formatCode>
                <c:ptCount val="11"/>
                <c:pt idx="0">
                  <c:v>2011</c:v>
                </c:pt>
                <c:pt idx="1">
                  <c:v>2015</c:v>
                </c:pt>
                <c:pt idx="2">
                  <c:v>2020</c:v>
                </c:pt>
                <c:pt idx="3">
                  <c:v>2025</c:v>
                </c:pt>
                <c:pt idx="4">
                  <c:v>2030</c:v>
                </c:pt>
                <c:pt idx="5">
                  <c:v>2035</c:v>
                </c:pt>
                <c:pt idx="6">
                  <c:v>2040</c:v>
                </c:pt>
                <c:pt idx="7">
                  <c:v>2045</c:v>
                </c:pt>
                <c:pt idx="8">
                  <c:v>2050</c:v>
                </c:pt>
                <c:pt idx="9">
                  <c:v>2055</c:v>
                </c:pt>
                <c:pt idx="10">
                  <c:v>2060</c:v>
                </c:pt>
              </c:numCache>
            </c:numRef>
          </c:cat>
          <c:val>
            <c:numRef>
              <c:f>Sheet2!$Y$2:$Y$12</c:f>
              <c:numCache>
                <c:formatCode>General</c:formatCode>
                <c:ptCount val="11"/>
                <c:pt idx="0">
                  <c:v>2.077E-2</c:v>
                </c:pt>
                <c:pt idx="1">
                  <c:v>2.793E-2</c:v>
                </c:pt>
                <c:pt idx="2">
                  <c:v>3.5389999999999998E-2</c:v>
                </c:pt>
                <c:pt idx="3">
                  <c:v>4.2909999999999997E-2</c:v>
                </c:pt>
                <c:pt idx="4">
                  <c:v>4.7239999999999997E-2</c:v>
                </c:pt>
                <c:pt idx="5">
                  <c:v>4.7750000000000001E-2</c:v>
                </c:pt>
                <c:pt idx="6">
                  <c:v>4.496E-2</c:v>
                </c:pt>
                <c:pt idx="7">
                  <c:v>3.9469999999999998E-2</c:v>
                </c:pt>
                <c:pt idx="8">
                  <c:v>3.243E-2</c:v>
                </c:pt>
                <c:pt idx="9">
                  <c:v>2.4129999999999999E-2</c:v>
                </c:pt>
                <c:pt idx="10">
                  <c:v>1.549E-2</c:v>
                </c:pt>
              </c:numCache>
            </c:numRef>
          </c:val>
          <c:smooth val="0"/>
        </c:ser>
        <c:ser>
          <c:idx val="1"/>
          <c:order val="1"/>
          <c:tx>
            <c:v>Social const</c:v>
          </c:tx>
          <c:spPr>
            <a:ln w="28575" cap="rnd">
              <a:solidFill>
                <a:schemeClr val="accent2"/>
              </a:solidFill>
              <a:round/>
            </a:ln>
            <a:effectLst/>
          </c:spPr>
          <c:marker>
            <c:symbol val="none"/>
          </c:marker>
          <c:cat>
            <c:numRef>
              <c:f>Sheet2!$B$2:$B$12</c:f>
              <c:numCache>
                <c:formatCode>General</c:formatCode>
                <c:ptCount val="11"/>
                <c:pt idx="0">
                  <c:v>2011</c:v>
                </c:pt>
                <c:pt idx="1">
                  <c:v>2015</c:v>
                </c:pt>
                <c:pt idx="2">
                  <c:v>2020</c:v>
                </c:pt>
                <c:pt idx="3">
                  <c:v>2025</c:v>
                </c:pt>
                <c:pt idx="4">
                  <c:v>2030</c:v>
                </c:pt>
                <c:pt idx="5">
                  <c:v>2035</c:v>
                </c:pt>
                <c:pt idx="6">
                  <c:v>2040</c:v>
                </c:pt>
                <c:pt idx="7">
                  <c:v>2045</c:v>
                </c:pt>
                <c:pt idx="8">
                  <c:v>2050</c:v>
                </c:pt>
                <c:pt idx="9">
                  <c:v>2055</c:v>
                </c:pt>
                <c:pt idx="10">
                  <c:v>2060</c:v>
                </c:pt>
              </c:numCache>
            </c:numRef>
          </c:cat>
          <c:val>
            <c:numRef>
              <c:f>Sheet2!$CP$2:$CP$12</c:f>
              <c:numCache>
                <c:formatCode>General</c:formatCode>
                <c:ptCount val="11"/>
                <c:pt idx="0">
                  <c:v>2.077E-2</c:v>
                </c:pt>
                <c:pt idx="1">
                  <c:v>2.793E-2</c:v>
                </c:pt>
                <c:pt idx="2">
                  <c:v>3.5049999999999998E-2</c:v>
                </c:pt>
                <c:pt idx="3">
                  <c:v>3.9669999999999997E-2</c:v>
                </c:pt>
                <c:pt idx="4">
                  <c:v>3.8429999999999999E-2</c:v>
                </c:pt>
                <c:pt idx="5">
                  <c:v>3.007E-2</c:v>
                </c:pt>
                <c:pt idx="6">
                  <c:v>1.448E-2</c:v>
                </c:pt>
                <c:pt idx="7">
                  <c:v>-7.7000000000000002E-3</c:v>
                </c:pt>
                <c:pt idx="8">
                  <c:v>-3.083E-2</c:v>
                </c:pt>
                <c:pt idx="9">
                  <c:v>-1.899E-2</c:v>
                </c:pt>
                <c:pt idx="10">
                  <c:v>-5.3400000000000001E-3</c:v>
                </c:pt>
              </c:numCache>
            </c:numRef>
          </c:val>
          <c:smooth val="0"/>
        </c:ser>
        <c:ser>
          <c:idx val="2"/>
          <c:order val="2"/>
          <c:tx>
            <c:v>Social_no const</c:v>
          </c:tx>
          <c:spPr>
            <a:ln w="28575" cap="rnd">
              <a:solidFill>
                <a:schemeClr val="accent3"/>
              </a:solidFill>
              <a:round/>
            </a:ln>
            <a:effectLst/>
          </c:spPr>
          <c:marker>
            <c:symbol val="none"/>
          </c:marker>
          <c:cat>
            <c:numRef>
              <c:f>Sheet2!$B$2:$B$12</c:f>
              <c:numCache>
                <c:formatCode>General</c:formatCode>
                <c:ptCount val="11"/>
                <c:pt idx="0">
                  <c:v>2011</c:v>
                </c:pt>
                <c:pt idx="1">
                  <c:v>2015</c:v>
                </c:pt>
                <c:pt idx="2">
                  <c:v>2020</c:v>
                </c:pt>
                <c:pt idx="3">
                  <c:v>2025</c:v>
                </c:pt>
                <c:pt idx="4">
                  <c:v>2030</c:v>
                </c:pt>
                <c:pt idx="5">
                  <c:v>2035</c:v>
                </c:pt>
                <c:pt idx="6">
                  <c:v>2040</c:v>
                </c:pt>
                <c:pt idx="7">
                  <c:v>2045</c:v>
                </c:pt>
                <c:pt idx="8">
                  <c:v>2050</c:v>
                </c:pt>
                <c:pt idx="9">
                  <c:v>2055</c:v>
                </c:pt>
                <c:pt idx="10">
                  <c:v>2060</c:v>
                </c:pt>
              </c:numCache>
            </c:numRef>
          </c:cat>
          <c:val>
            <c:numRef>
              <c:f>Sheet2!$FG$2:$FG$12</c:f>
              <c:numCache>
                <c:formatCode>General</c:formatCode>
                <c:ptCount val="11"/>
                <c:pt idx="0">
                  <c:v>2.077E-2</c:v>
                </c:pt>
                <c:pt idx="1">
                  <c:v>2.793E-2</c:v>
                </c:pt>
                <c:pt idx="2">
                  <c:v>3.5049999999999998E-2</c:v>
                </c:pt>
                <c:pt idx="3">
                  <c:v>3.9669999999999997E-2</c:v>
                </c:pt>
                <c:pt idx="4">
                  <c:v>3.8429999999999999E-2</c:v>
                </c:pt>
                <c:pt idx="5">
                  <c:v>3.007E-2</c:v>
                </c:pt>
                <c:pt idx="6">
                  <c:v>1.448E-2</c:v>
                </c:pt>
                <c:pt idx="7">
                  <c:v>-7.7000000000000002E-3</c:v>
                </c:pt>
                <c:pt idx="8">
                  <c:v>-3.5700000000000003E-2</c:v>
                </c:pt>
                <c:pt idx="9">
                  <c:v>-7.0069999999999993E-2</c:v>
                </c:pt>
                <c:pt idx="10">
                  <c:v>-0.11203</c:v>
                </c:pt>
              </c:numCache>
            </c:numRef>
          </c:val>
          <c:smooth val="0"/>
        </c:ser>
        <c:ser>
          <c:idx val="3"/>
          <c:order val="3"/>
          <c:tx>
            <c:v>Status quo</c:v>
          </c:tx>
          <c:spPr>
            <a:ln w="28575" cap="rnd">
              <a:solidFill>
                <a:schemeClr val="accent4"/>
              </a:solidFill>
              <a:round/>
            </a:ln>
            <a:effectLst/>
          </c:spPr>
          <c:marker>
            <c:symbol val="none"/>
          </c:marker>
          <c:cat>
            <c:numRef>
              <c:f>Sheet2!$B$2:$B$12</c:f>
              <c:numCache>
                <c:formatCode>General</c:formatCode>
                <c:ptCount val="11"/>
                <c:pt idx="0">
                  <c:v>2011</c:v>
                </c:pt>
                <c:pt idx="1">
                  <c:v>2015</c:v>
                </c:pt>
                <c:pt idx="2">
                  <c:v>2020</c:v>
                </c:pt>
                <c:pt idx="3">
                  <c:v>2025</c:v>
                </c:pt>
                <c:pt idx="4">
                  <c:v>2030</c:v>
                </c:pt>
                <c:pt idx="5">
                  <c:v>2035</c:v>
                </c:pt>
                <c:pt idx="6">
                  <c:v>2040</c:v>
                </c:pt>
                <c:pt idx="7">
                  <c:v>2045</c:v>
                </c:pt>
                <c:pt idx="8">
                  <c:v>2050</c:v>
                </c:pt>
                <c:pt idx="9">
                  <c:v>2055</c:v>
                </c:pt>
                <c:pt idx="10">
                  <c:v>2060</c:v>
                </c:pt>
              </c:numCache>
            </c:numRef>
          </c:cat>
          <c:val>
            <c:numRef>
              <c:f>Sheet2!$HX$2:$HX$12</c:f>
              <c:numCache>
                <c:formatCode>General</c:formatCode>
                <c:ptCount val="11"/>
                <c:pt idx="0">
                  <c:v>2.077E-2</c:v>
                </c:pt>
                <c:pt idx="1">
                  <c:v>2.793E-2</c:v>
                </c:pt>
                <c:pt idx="2">
                  <c:v>3.492E-2</c:v>
                </c:pt>
                <c:pt idx="3">
                  <c:v>4.1050000000000003E-2</c:v>
                </c:pt>
                <c:pt idx="4">
                  <c:v>4.6039999999999998E-2</c:v>
                </c:pt>
                <c:pt idx="5">
                  <c:v>4.9750000000000003E-2</c:v>
                </c:pt>
                <c:pt idx="6">
                  <c:v>5.2900000000000003E-2</c:v>
                </c:pt>
                <c:pt idx="7">
                  <c:v>5.6160000000000002E-2</c:v>
                </c:pt>
                <c:pt idx="8">
                  <c:v>6.0339999999999998E-2</c:v>
                </c:pt>
                <c:pt idx="9">
                  <c:v>6.6009999999999999E-2</c:v>
                </c:pt>
                <c:pt idx="10">
                  <c:v>7.5509999999999994E-2</c:v>
                </c:pt>
              </c:numCache>
            </c:numRef>
          </c:val>
          <c:smooth val="0"/>
        </c:ser>
        <c:dLbls>
          <c:showLegendKey val="0"/>
          <c:showVal val="0"/>
          <c:showCatName val="0"/>
          <c:showSerName val="0"/>
          <c:showPercent val="0"/>
          <c:showBubbleSize val="0"/>
        </c:dLbls>
        <c:marker val="1"/>
        <c:smooth val="0"/>
        <c:axId val="285115904"/>
        <c:axId val="285117440"/>
      </c:lineChart>
      <c:catAx>
        <c:axId val="285115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5117440"/>
        <c:crosses val="autoZero"/>
        <c:auto val="1"/>
        <c:lblAlgn val="ctr"/>
        <c:lblOffset val="100"/>
        <c:noMultiLvlLbl val="0"/>
      </c:catAx>
      <c:valAx>
        <c:axId val="285117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5115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Budget Structure</a:t>
            </a:r>
          </a:p>
        </c:rich>
      </c:tx>
      <c:layout>
        <c:manualLayout>
          <c:xMode val="edge"/>
          <c:yMode val="edge"/>
          <c:x val="0.29873015873015873"/>
          <c:y val="0"/>
        </c:manualLayout>
      </c:layout>
      <c:overlay val="1"/>
    </c:title>
    <c:autoTitleDeleted val="0"/>
    <c:plotArea>
      <c:layout>
        <c:manualLayout>
          <c:layoutTarget val="inner"/>
          <c:xMode val="edge"/>
          <c:yMode val="edge"/>
          <c:x val="0.11299694681022017"/>
          <c:y val="0.12305156708352634"/>
          <c:w val="0.83711643187458717"/>
          <c:h val="0.61096186506098504"/>
        </c:manualLayout>
      </c:layout>
      <c:lineChart>
        <c:grouping val="standard"/>
        <c:varyColors val="0"/>
        <c:ser>
          <c:idx val="0"/>
          <c:order val="0"/>
          <c:tx>
            <c:strRef>
              <c:f>Sheet1!$A$2</c:f>
              <c:strCache>
                <c:ptCount val="1"/>
                <c:pt idx="0">
                  <c:v>Social services</c:v>
                </c:pt>
              </c:strCache>
            </c:strRef>
          </c:tx>
          <c:marker>
            <c:symbol val="none"/>
          </c:marker>
          <c:cat>
            <c:strRef>
              <c:f>Sheet1!$B$1:$Y$1</c:f>
              <c:strCache>
                <c:ptCount val="24"/>
                <c:pt idx="0">
                  <c:v>1990</c:v>
                </c:pt>
                <c:pt idx="1">
                  <c:v>1991</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strCache>
            </c:strRef>
          </c:cat>
          <c:val>
            <c:numRef>
              <c:f>Sheet1!$B$2:$Y$2</c:f>
              <c:numCache>
                <c:formatCode>General</c:formatCode>
                <c:ptCount val="24"/>
                <c:pt idx="0">
                  <c:v>30</c:v>
                </c:pt>
                <c:pt idx="1">
                  <c:v>33</c:v>
                </c:pt>
                <c:pt idx="2">
                  <c:v>37</c:v>
                </c:pt>
                <c:pt idx="3">
                  <c:v>39</c:v>
                </c:pt>
                <c:pt idx="4">
                  <c:v>39</c:v>
                </c:pt>
                <c:pt idx="5">
                  <c:v>42</c:v>
                </c:pt>
                <c:pt idx="6">
                  <c:v>45.5</c:v>
                </c:pt>
                <c:pt idx="7">
                  <c:v>45</c:v>
                </c:pt>
                <c:pt idx="8">
                  <c:v>44.5</c:v>
                </c:pt>
                <c:pt idx="9">
                  <c:v>44</c:v>
                </c:pt>
                <c:pt idx="10">
                  <c:v>42</c:v>
                </c:pt>
                <c:pt idx="11">
                  <c:v>40</c:v>
                </c:pt>
                <c:pt idx="12" formatCode="_(* #,##0.00_);_(* \(#,##0.00\);_(* &quot;-&quot;??_);_(@_)">
                  <c:v>41.526912691269132</c:v>
                </c:pt>
                <c:pt idx="13" formatCode="_(* #,##0.00_);_(* \(#,##0.00\);_(* &quot;-&quot;??_);_(@_)">
                  <c:v>38.415298667812621</c:v>
                </c:pt>
                <c:pt idx="14" formatCode="_(* #,##0.00_);_(* \(#,##0.00\);_(* &quot;-&quot;??_);_(@_)">
                  <c:v>41.556691666666644</c:v>
                </c:pt>
                <c:pt idx="15" formatCode="_(* #,##0.00_);_(* \(#,##0.00\);_(* &quot;-&quot;??_);_(@_)">
                  <c:v>40.009595588235292</c:v>
                </c:pt>
                <c:pt idx="16" formatCode="_(* #,##0.00_);_(* \(#,##0.00\);_(* &quot;-&quot;??_);_(@_)">
                  <c:v>41.940014046737325</c:v>
                </c:pt>
                <c:pt idx="17" formatCode="_(* #,##0.00_);_(* \(#,##0.00\);_(* &quot;-&quot;??_);_(@_)">
                  <c:v>41.805819277108434</c:v>
                </c:pt>
                <c:pt idx="18" formatCode="_(* #,##0.00_);_(* \(#,##0.00\);_(* &quot;-&quot;??_);_(@_)">
                  <c:v>41.672228882833799</c:v>
                </c:pt>
                <c:pt idx="19" formatCode="_(* #,##0.00_);_(* \(#,##0.00\);_(* &quot;-&quot;??_);_(@_)">
                  <c:v>42.456352941176483</c:v>
                </c:pt>
                <c:pt idx="20" formatCode="_(* #,##0.00_);_(* \(#,##0.00\);_(* &quot;-&quot;??_);_(@_)">
                  <c:v>40.355415458937195</c:v>
                </c:pt>
                <c:pt idx="21" formatCode="_(* #,##0.00_);_(* \(#,##0.00\);_(* &quot;-&quot;??_);_(@_)">
                  <c:v>45.68675210084033</c:v>
                </c:pt>
                <c:pt idx="22" formatCode="_(* #,##0.00_);_(* \(#,##0.00\);_(* &quot;-&quot;??_);_(@_)">
                  <c:v>46.135645833333335</c:v>
                </c:pt>
                <c:pt idx="23" formatCode="_(* #,##0.00_);_(* \(#,##0.00\);_(* &quot;-&quot;??_);_(@_)">
                  <c:v>42.909069306930682</c:v>
                </c:pt>
              </c:numCache>
            </c:numRef>
          </c:val>
          <c:smooth val="0"/>
        </c:ser>
        <c:ser>
          <c:idx val="1"/>
          <c:order val="1"/>
          <c:tx>
            <c:strRef>
              <c:f>Sheet1!$A$3</c:f>
              <c:strCache>
                <c:ptCount val="1"/>
                <c:pt idx="0">
                  <c:v>Economic affairs</c:v>
                </c:pt>
              </c:strCache>
            </c:strRef>
          </c:tx>
          <c:marker>
            <c:symbol val="none"/>
          </c:marker>
          <c:cat>
            <c:strRef>
              <c:f>Sheet1!$B$1:$Y$1</c:f>
              <c:strCache>
                <c:ptCount val="24"/>
                <c:pt idx="0">
                  <c:v>1990</c:v>
                </c:pt>
                <c:pt idx="1">
                  <c:v>1991</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strCache>
            </c:strRef>
          </c:cat>
          <c:val>
            <c:numRef>
              <c:f>Sheet1!$B$3:$Y$3</c:f>
              <c:numCache>
                <c:formatCode>General</c:formatCode>
                <c:ptCount val="24"/>
                <c:pt idx="0">
                  <c:v>38</c:v>
                </c:pt>
                <c:pt idx="1">
                  <c:v>38</c:v>
                </c:pt>
                <c:pt idx="2">
                  <c:v>33</c:v>
                </c:pt>
                <c:pt idx="3">
                  <c:v>29</c:v>
                </c:pt>
                <c:pt idx="4">
                  <c:v>27</c:v>
                </c:pt>
                <c:pt idx="5">
                  <c:v>28</c:v>
                </c:pt>
                <c:pt idx="6">
                  <c:v>26.5</c:v>
                </c:pt>
                <c:pt idx="7">
                  <c:v>26</c:v>
                </c:pt>
                <c:pt idx="8">
                  <c:v>27</c:v>
                </c:pt>
                <c:pt idx="9">
                  <c:v>27.5</c:v>
                </c:pt>
                <c:pt idx="10">
                  <c:v>28</c:v>
                </c:pt>
                <c:pt idx="11">
                  <c:v>32</c:v>
                </c:pt>
                <c:pt idx="12" formatCode="_(* #,##0.00_);_(* \(#,##0.00\);_(* &quot;-&quot;??_);_(@_)">
                  <c:v>31.957115711571159</c:v>
                </c:pt>
                <c:pt idx="13" formatCode="_(* #,##0.00_);_(* \(#,##0.00\);_(* &quot;-&quot;??_);_(@_)">
                  <c:v>33.893382036957462</c:v>
                </c:pt>
                <c:pt idx="14" formatCode="_(* #,##0.00_);_(* \(#,##0.00\);_(* &quot;-&quot;??_);_(@_)">
                  <c:v>30.694700000000001</c:v>
                </c:pt>
                <c:pt idx="15" formatCode="_(* #,##0.00_);_(* \(#,##0.00\);_(* &quot;-&quot;??_);_(@_)">
                  <c:v>25.03024264705882</c:v>
                </c:pt>
                <c:pt idx="16" formatCode="_(* #,##0.00_);_(* \(#,##0.00\);_(* &quot;-&quot;??_);_(@_)">
                  <c:v>21.315974971268037</c:v>
                </c:pt>
                <c:pt idx="17" formatCode="_(* #,##0.00_);_(* \(#,##0.00\);_(* &quot;-&quot;??_);_(@_)">
                  <c:v>19.302192771084336</c:v>
                </c:pt>
                <c:pt idx="18" formatCode="_(* #,##0.00_);_(* \(#,##0.00\);_(* &quot;-&quot;??_);_(@_)">
                  <c:v>17.452844686648504</c:v>
                </c:pt>
                <c:pt idx="19" formatCode="_(* #,##0.00_);_(* \(#,##0.00\);_(* &quot;-&quot;??_);_(@_)">
                  <c:v>16.933</c:v>
                </c:pt>
                <c:pt idx="20" formatCode="_(* #,##0.00_);_(* \(#,##0.00\);_(* &quot;-&quot;??_);_(@_)">
                  <c:v>20.516178743961348</c:v>
                </c:pt>
                <c:pt idx="21" formatCode="_(* #,##0.00_);_(* \(#,##0.00\);_(* &quot;-&quot;??_);_(@_)">
                  <c:v>17.699109243697478</c:v>
                </c:pt>
                <c:pt idx="22" formatCode="_(* #,##0.00_);_(* \(#,##0.00\);_(* &quot;-&quot;??_);_(@_)">
                  <c:v>19.583420833333321</c:v>
                </c:pt>
                <c:pt idx="23" formatCode="_(* #,##0.00_);_(* \(#,##0.00\);_(* &quot;-&quot;??_);_(@_)">
                  <c:v>20.992495049504946</c:v>
                </c:pt>
              </c:numCache>
            </c:numRef>
          </c:val>
          <c:smooth val="0"/>
        </c:ser>
        <c:ser>
          <c:idx val="2"/>
          <c:order val="2"/>
          <c:tx>
            <c:strRef>
              <c:f>Sheet1!$A$4</c:f>
              <c:strCache>
                <c:ptCount val="1"/>
                <c:pt idx="0">
                  <c:v>General services </c:v>
                </c:pt>
              </c:strCache>
            </c:strRef>
          </c:tx>
          <c:marker>
            <c:symbol val="none"/>
          </c:marker>
          <c:cat>
            <c:strRef>
              <c:f>Sheet1!$B$1:$Y$1</c:f>
              <c:strCache>
                <c:ptCount val="24"/>
                <c:pt idx="0">
                  <c:v>1990</c:v>
                </c:pt>
                <c:pt idx="1">
                  <c:v>1991</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strCache>
            </c:strRef>
          </c:cat>
          <c:val>
            <c:numRef>
              <c:f>Sheet1!$B$4:$Y$4</c:f>
              <c:numCache>
                <c:formatCode>General</c:formatCode>
                <c:ptCount val="24"/>
                <c:pt idx="0">
                  <c:v>32</c:v>
                </c:pt>
                <c:pt idx="1">
                  <c:v>29</c:v>
                </c:pt>
                <c:pt idx="2">
                  <c:v>30</c:v>
                </c:pt>
                <c:pt idx="3">
                  <c:v>32</c:v>
                </c:pt>
                <c:pt idx="4">
                  <c:v>34</c:v>
                </c:pt>
                <c:pt idx="5">
                  <c:v>30</c:v>
                </c:pt>
                <c:pt idx="6">
                  <c:v>28</c:v>
                </c:pt>
                <c:pt idx="7">
                  <c:v>29</c:v>
                </c:pt>
                <c:pt idx="8">
                  <c:v>28.5</c:v>
                </c:pt>
                <c:pt idx="9">
                  <c:v>28.5</c:v>
                </c:pt>
                <c:pt idx="10">
                  <c:v>30</c:v>
                </c:pt>
                <c:pt idx="11">
                  <c:v>28</c:v>
                </c:pt>
                <c:pt idx="12" formatCode="_(* #,##0.00_);_(* \(#,##0.00\);_(* &quot;-&quot;??_);_(@_)">
                  <c:v>26.515971597159719</c:v>
                </c:pt>
                <c:pt idx="13" formatCode="_(* #,##0.00_);_(* \(#,##0.00\);_(* &quot;-&quot;??_);_(@_)">
                  <c:v>27.691319295229906</c:v>
                </c:pt>
                <c:pt idx="14" formatCode="_(* #,##0.00_);_(* \(#,##0.00\);_(* &quot;-&quot;??_);_(@_)">
                  <c:v>27.748608333333319</c:v>
                </c:pt>
                <c:pt idx="15" formatCode="_(* #,##0.00_);_(* \(#,##0.00\);_(* &quot;-&quot;??_);_(@_)">
                  <c:v>34.96016176470588</c:v>
                </c:pt>
                <c:pt idx="16" formatCode="_(* #,##0.00_);_(* \(#,##0.00\);_(* &quot;-&quot;??_);_(@_)">
                  <c:v>36.744010981994634</c:v>
                </c:pt>
                <c:pt idx="17" formatCode="_(* #,##0.00_);_(* \(#,##0.00\);_(* &quot;-&quot;??_);_(@_)">
                  <c:v>38.891987951807216</c:v>
                </c:pt>
                <c:pt idx="18" formatCode="_(* #,##0.00_);_(* \(#,##0.00\);_(* &quot;-&quot;??_);_(@_)">
                  <c:v>40.874926430517704</c:v>
                </c:pt>
                <c:pt idx="19" formatCode="_(* #,##0.00_);_(* \(#,##0.00\);_(* &quot;-&quot;??_);_(@_)">
                  <c:v>40.610647058823517</c:v>
                </c:pt>
                <c:pt idx="20" formatCode="_(* #,##0.00_);_(* \(#,##0.00\);_(* &quot;-&quot;??_);_(@_)">
                  <c:v>39.128405797101458</c:v>
                </c:pt>
                <c:pt idx="21" formatCode="_(* #,##0.00_);_(* \(#,##0.00\);_(* &quot;-&quot;??_);_(@_)">
                  <c:v>36.614138655462177</c:v>
                </c:pt>
                <c:pt idx="22" formatCode="_(* #,##0.00_);_(* \(#,##0.00\);_(* &quot;-&quot;??_);_(@_)">
                  <c:v>34.280933333333337</c:v>
                </c:pt>
                <c:pt idx="23" formatCode="_(* #,##0.00_);_(* \(#,##0.00\);_(* &quot;-&quot;??_);_(@_)">
                  <c:v>36.098435643564365</c:v>
                </c:pt>
              </c:numCache>
            </c:numRef>
          </c:val>
          <c:smooth val="0"/>
        </c:ser>
        <c:dLbls>
          <c:showLegendKey val="0"/>
          <c:showVal val="0"/>
          <c:showCatName val="0"/>
          <c:showSerName val="0"/>
          <c:showPercent val="0"/>
          <c:showBubbleSize val="0"/>
        </c:dLbls>
        <c:marker val="1"/>
        <c:smooth val="0"/>
        <c:axId val="282571904"/>
        <c:axId val="282573440"/>
      </c:lineChart>
      <c:catAx>
        <c:axId val="282571904"/>
        <c:scaling>
          <c:orientation val="minMax"/>
        </c:scaling>
        <c:delete val="0"/>
        <c:axPos val="b"/>
        <c:numFmt formatCode="General" sourceLinked="0"/>
        <c:majorTickMark val="out"/>
        <c:minorTickMark val="none"/>
        <c:tickLblPos val="nextTo"/>
        <c:crossAx val="282573440"/>
        <c:crosses val="autoZero"/>
        <c:auto val="1"/>
        <c:lblAlgn val="ctr"/>
        <c:lblOffset val="100"/>
        <c:noMultiLvlLbl val="0"/>
      </c:catAx>
      <c:valAx>
        <c:axId val="282573440"/>
        <c:scaling>
          <c:orientation val="minMax"/>
        </c:scaling>
        <c:delete val="0"/>
        <c:axPos val="l"/>
        <c:majorGridlines/>
        <c:title>
          <c:tx>
            <c:rich>
              <a:bodyPr rot="0" vert="horz"/>
              <a:lstStyle/>
              <a:p>
                <a:pPr>
                  <a:defRPr b="0"/>
                </a:pPr>
                <a:r>
                  <a:rPr lang="en-US" b="0"/>
                  <a:t>%</a:t>
                </a:r>
              </a:p>
            </c:rich>
          </c:tx>
          <c:layout>
            <c:manualLayout>
              <c:xMode val="edge"/>
              <c:yMode val="edge"/>
              <c:x val="5.8956916099773257E-2"/>
              <c:y val="3.231897483402809E-2"/>
            </c:manualLayout>
          </c:layout>
          <c:overlay val="0"/>
        </c:title>
        <c:numFmt formatCode="General" sourceLinked="1"/>
        <c:majorTickMark val="out"/>
        <c:minorTickMark val="none"/>
        <c:tickLblPos val="nextTo"/>
        <c:crossAx val="282571904"/>
        <c:crosses val="autoZero"/>
        <c:crossBetween val="between"/>
      </c:valAx>
    </c:plotArea>
    <c:legend>
      <c:legendPos val="b"/>
      <c:layout>
        <c:manualLayout>
          <c:xMode val="edge"/>
          <c:yMode val="edge"/>
          <c:x val="2.9930901494456041E-2"/>
          <c:y val="0.8880654624054346"/>
          <c:w val="0.96734908136482955"/>
          <c:h val="0.11193453759456537"/>
        </c:manualLayout>
      </c:layout>
      <c:overlay val="0"/>
    </c:legend>
    <c:plotVisOnly val="1"/>
    <c:dispBlanksAs val="gap"/>
    <c:showDLblsOverMax val="0"/>
  </c:chart>
  <c:spPr>
    <a:ln>
      <a:noFill/>
    </a:ln>
  </c:spPr>
  <c:txPr>
    <a:bodyPr/>
    <a:lstStyle/>
    <a:p>
      <a:pPr>
        <a:defRPr sz="800">
          <a:latin typeface="Tahoma" pitchFamily="34" charset="0"/>
          <a:cs typeface="Tahoma"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percentStacked"/>
        <c:varyColors val="0"/>
        <c:ser>
          <c:idx val="0"/>
          <c:order val="0"/>
          <c:tx>
            <c:strRef>
              <c:f>Sheet1!$B$1</c:f>
              <c:strCache>
                <c:ptCount val="1"/>
                <c:pt idx="0">
                  <c:v>none</c:v>
                </c:pt>
              </c:strCache>
            </c:strRef>
          </c:tx>
          <c:spPr>
            <a:solidFill>
              <a:srgbClr val="72D3FE"/>
            </a:solidFill>
          </c:spPr>
          <c:dLbls>
            <c:dLbl>
              <c:idx val="0"/>
              <c:layout>
                <c:manualLayout>
                  <c:x val="2.3111810571960895E-2"/>
                  <c:y val="1.0015117306990158E-2"/>
                </c:manualLayout>
              </c:layout>
              <c:numFmt formatCode="#,##0.0" sourceLinked="0"/>
              <c:spPr/>
              <c:txPr>
                <a:bodyPr anchor="t" anchorCtr="0"/>
                <a:lstStyle/>
                <a:p>
                  <a:pPr>
                    <a:defRPr sz="800">
                      <a:latin typeface="Tahoma" pitchFamily="34" charset="0"/>
                      <a:cs typeface="Tahoma"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nchor="t" anchorCtr="0"/>
              <a:lstStyle/>
              <a:p>
                <a:pPr>
                  <a:defRPr sz="800">
                    <a:latin typeface="Tahoma" pitchFamily="34" charset="0"/>
                    <a:cs typeface="Tahoma"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6"/>
                <c:pt idx="0">
                  <c:v>1991</c:v>
                </c:pt>
                <c:pt idx="1">
                  <c:v>1996</c:v>
                </c:pt>
                <c:pt idx="2">
                  <c:v>2001</c:v>
                </c:pt>
                <c:pt idx="3">
                  <c:v>2003</c:v>
                </c:pt>
                <c:pt idx="4">
                  <c:v>2006</c:v>
                </c:pt>
                <c:pt idx="5">
                  <c:v>2009</c:v>
                </c:pt>
              </c:numCache>
            </c:numRef>
          </c:cat>
          <c:val>
            <c:numRef>
              <c:f>Sheet1!$B$2:$B$7</c:f>
              <c:numCache>
                <c:formatCode>General</c:formatCode>
                <c:ptCount val="6"/>
                <c:pt idx="0">
                  <c:v>66.5</c:v>
                </c:pt>
                <c:pt idx="1">
                  <c:v>54.5</c:v>
                </c:pt>
                <c:pt idx="2">
                  <c:v>29</c:v>
                </c:pt>
                <c:pt idx="3">
                  <c:v>5.0999999999999996</c:v>
                </c:pt>
                <c:pt idx="4">
                  <c:v>4</c:v>
                </c:pt>
                <c:pt idx="5">
                  <c:v>2.6</c:v>
                </c:pt>
              </c:numCache>
            </c:numRef>
          </c:val>
        </c:ser>
        <c:ser>
          <c:idx val="1"/>
          <c:order val="1"/>
          <c:tx>
            <c:strRef>
              <c:f>Sheet1!$C$1</c:f>
              <c:strCache>
                <c:ptCount val="1"/>
                <c:pt idx="0">
                  <c:v>Medical Welfare</c:v>
                </c:pt>
              </c:strCache>
            </c:strRef>
          </c:tx>
          <c:spPr>
            <a:solidFill>
              <a:schemeClr val="bg1">
                <a:lumMod val="75000"/>
              </a:schemeClr>
            </a:solidFill>
          </c:spPr>
          <c:dLbls>
            <c:dLbl>
              <c:idx val="0"/>
              <c:layout>
                <c:manualLayout>
                  <c:x val="2.3111810571960895E-2"/>
                  <c:y val="1.5022675960485236E-2"/>
                </c:manualLayout>
              </c:layout>
              <c:showLegendKey val="0"/>
              <c:showVal val="1"/>
              <c:showCatName val="0"/>
              <c:showSerName val="0"/>
              <c:showPercent val="0"/>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a:lstStyle/>
              <a:p>
                <a:pPr>
                  <a:defRPr sz="800">
                    <a:latin typeface="Tahoma" pitchFamily="34" charset="0"/>
                    <a:cs typeface="Tahoma"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6"/>
                <c:pt idx="0">
                  <c:v>1991</c:v>
                </c:pt>
                <c:pt idx="1">
                  <c:v>1996</c:v>
                </c:pt>
                <c:pt idx="2">
                  <c:v>2001</c:v>
                </c:pt>
                <c:pt idx="3">
                  <c:v>2003</c:v>
                </c:pt>
                <c:pt idx="4">
                  <c:v>2006</c:v>
                </c:pt>
                <c:pt idx="5">
                  <c:v>2009</c:v>
                </c:pt>
              </c:numCache>
            </c:numRef>
          </c:cat>
          <c:val>
            <c:numRef>
              <c:f>Sheet1!$C$2:$C$7</c:f>
              <c:numCache>
                <c:formatCode>General</c:formatCode>
                <c:ptCount val="6"/>
                <c:pt idx="0">
                  <c:v>12.7</c:v>
                </c:pt>
                <c:pt idx="1">
                  <c:v>12.6</c:v>
                </c:pt>
                <c:pt idx="2">
                  <c:v>31.5</c:v>
                </c:pt>
              </c:numCache>
            </c:numRef>
          </c:val>
        </c:ser>
        <c:ser>
          <c:idx val="2"/>
          <c:order val="2"/>
          <c:tx>
            <c:strRef>
              <c:f>Sheet1!$D$1</c:f>
              <c:strCache>
                <c:ptCount val="1"/>
                <c:pt idx="0">
                  <c:v>Health Card</c:v>
                </c:pt>
              </c:strCache>
            </c:strRef>
          </c:tx>
          <c:spPr>
            <a:solidFill>
              <a:srgbClr val="FF5B9D"/>
            </a:solidFill>
            <a:ln w="25400">
              <a:noFill/>
            </a:ln>
          </c:spPr>
          <c:dLbls>
            <c:dLbl>
              <c:idx val="0"/>
              <c:layout>
                <c:manualLayout>
                  <c:x val="1.6178267400372627E-2"/>
                  <c:y val="-2.2951045362751258E-17"/>
                </c:manualLayout>
              </c:layout>
              <c:showLegendKey val="0"/>
              <c:showVal val="1"/>
              <c:showCatName val="0"/>
              <c:showSerName val="0"/>
              <c:showPercent val="0"/>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a:lstStyle/>
              <a:p>
                <a:pPr>
                  <a:defRPr sz="800">
                    <a:latin typeface="Tahoma" pitchFamily="34" charset="0"/>
                    <a:cs typeface="Tahoma"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6"/>
                <c:pt idx="0">
                  <c:v>1991</c:v>
                </c:pt>
                <c:pt idx="1">
                  <c:v>1996</c:v>
                </c:pt>
                <c:pt idx="2">
                  <c:v>2001</c:v>
                </c:pt>
                <c:pt idx="3">
                  <c:v>2003</c:v>
                </c:pt>
                <c:pt idx="4">
                  <c:v>2006</c:v>
                </c:pt>
                <c:pt idx="5">
                  <c:v>2009</c:v>
                </c:pt>
              </c:numCache>
            </c:numRef>
          </c:cat>
          <c:val>
            <c:numRef>
              <c:f>Sheet1!$D$2:$D$7</c:f>
              <c:numCache>
                <c:formatCode>General</c:formatCode>
                <c:ptCount val="6"/>
                <c:pt idx="0">
                  <c:v>1.5</c:v>
                </c:pt>
                <c:pt idx="1">
                  <c:v>15.3</c:v>
                </c:pt>
                <c:pt idx="2">
                  <c:v>20.8</c:v>
                </c:pt>
              </c:numCache>
            </c:numRef>
          </c:val>
        </c:ser>
        <c:ser>
          <c:idx val="3"/>
          <c:order val="3"/>
          <c:tx>
            <c:strRef>
              <c:f>Sheet1!$E$1</c:f>
              <c:strCache>
                <c:ptCount val="1"/>
                <c:pt idx="0">
                  <c:v>UC</c:v>
                </c:pt>
              </c:strCache>
            </c:strRef>
          </c:tx>
          <c:spPr>
            <a:solidFill>
              <a:schemeClr val="accent2">
                <a:lumMod val="40000"/>
                <a:lumOff val="60000"/>
              </a:schemeClr>
            </a:solidFill>
            <a:ln w="25400">
              <a:noFill/>
            </a:ln>
          </c:spP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a:lstStyle/>
              <a:p>
                <a:pPr>
                  <a:defRPr sz="800">
                    <a:latin typeface="Tahoma" pitchFamily="34" charset="0"/>
                    <a:cs typeface="Tahoma"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6"/>
                <c:pt idx="0">
                  <c:v>1991</c:v>
                </c:pt>
                <c:pt idx="1">
                  <c:v>1996</c:v>
                </c:pt>
                <c:pt idx="2">
                  <c:v>2001</c:v>
                </c:pt>
                <c:pt idx="3">
                  <c:v>2003</c:v>
                </c:pt>
                <c:pt idx="4">
                  <c:v>2006</c:v>
                </c:pt>
                <c:pt idx="5">
                  <c:v>2009</c:v>
                </c:pt>
              </c:numCache>
            </c:numRef>
          </c:cat>
          <c:val>
            <c:numRef>
              <c:f>Sheet1!$E$2:$E$7</c:f>
              <c:numCache>
                <c:formatCode>General</c:formatCode>
                <c:ptCount val="6"/>
                <c:pt idx="3">
                  <c:v>74.7</c:v>
                </c:pt>
                <c:pt idx="4">
                  <c:v>74.3</c:v>
                </c:pt>
                <c:pt idx="5">
                  <c:v>73.5</c:v>
                </c:pt>
              </c:numCache>
            </c:numRef>
          </c:val>
        </c:ser>
        <c:ser>
          <c:idx val="4"/>
          <c:order val="4"/>
          <c:tx>
            <c:strRef>
              <c:f>Sheet1!$F$1</c:f>
              <c:strCache>
                <c:ptCount val="1"/>
                <c:pt idx="0">
                  <c:v>SSS</c:v>
                </c:pt>
              </c:strCache>
            </c:strRef>
          </c:tx>
          <c:spPr>
            <a:solidFill>
              <a:srgbClr val="CC99FF"/>
            </a:solidFill>
            <a:ln w="25400">
              <a:noFill/>
            </a:ln>
          </c:spPr>
          <c:dLbls>
            <c:dLbl>
              <c:idx val="0"/>
              <c:delete val="1"/>
              <c:extLst>
                <c:ext xmlns:c15="http://schemas.microsoft.com/office/drawing/2012/chart" uri="{CE6537A1-D6FC-4f65-9D91-7224C49458BB}"/>
              </c:extLst>
            </c:dLbl>
            <c:spPr>
              <a:noFill/>
              <a:ln>
                <a:noFill/>
              </a:ln>
              <a:effectLst/>
            </c:spPr>
            <c:txPr>
              <a:bodyPr/>
              <a:lstStyle/>
              <a:p>
                <a:pPr>
                  <a:defRPr sz="800">
                    <a:latin typeface="Tahoma" pitchFamily="34" charset="0"/>
                    <a:cs typeface="Tahoma"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6"/>
                <c:pt idx="0">
                  <c:v>1991</c:v>
                </c:pt>
                <c:pt idx="1">
                  <c:v>1996</c:v>
                </c:pt>
                <c:pt idx="2">
                  <c:v>2001</c:v>
                </c:pt>
                <c:pt idx="3">
                  <c:v>2003</c:v>
                </c:pt>
                <c:pt idx="4">
                  <c:v>2006</c:v>
                </c:pt>
                <c:pt idx="5">
                  <c:v>2009</c:v>
                </c:pt>
              </c:numCache>
            </c:numRef>
          </c:cat>
          <c:val>
            <c:numRef>
              <c:f>Sheet1!$F$2:$F$7</c:f>
              <c:numCache>
                <c:formatCode>General</c:formatCode>
                <c:ptCount val="6"/>
                <c:pt idx="1">
                  <c:v>5.6</c:v>
                </c:pt>
                <c:pt idx="2">
                  <c:v>7.2</c:v>
                </c:pt>
                <c:pt idx="3">
                  <c:v>9.6</c:v>
                </c:pt>
                <c:pt idx="4">
                  <c:v>11.4</c:v>
                </c:pt>
                <c:pt idx="5">
                  <c:v>11.7</c:v>
                </c:pt>
              </c:numCache>
            </c:numRef>
          </c:val>
        </c:ser>
        <c:ser>
          <c:idx val="5"/>
          <c:order val="5"/>
          <c:tx>
            <c:strRef>
              <c:f>Sheet1!$G$1</c:f>
              <c:strCache>
                <c:ptCount val="1"/>
                <c:pt idx="0">
                  <c:v>CSMBS</c:v>
                </c:pt>
              </c:strCache>
            </c:strRef>
          </c:tx>
          <c:spPr>
            <a:solidFill>
              <a:schemeClr val="accent4">
                <a:lumMod val="40000"/>
                <a:lumOff val="60000"/>
              </a:schemeClr>
            </a:solidFill>
            <a:ln w="25400">
              <a:noFill/>
            </a:ln>
          </c:spPr>
          <c:dLbls>
            <c:dLbl>
              <c:idx val="0"/>
              <c:layout>
                <c:manualLayout>
                  <c:x val="2.3111810571960895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ahoma" pitchFamily="34" charset="0"/>
                    <a:cs typeface="Tahoma"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6"/>
                <c:pt idx="0">
                  <c:v>1991</c:v>
                </c:pt>
                <c:pt idx="1">
                  <c:v>1996</c:v>
                </c:pt>
                <c:pt idx="2">
                  <c:v>2001</c:v>
                </c:pt>
                <c:pt idx="3">
                  <c:v>2003</c:v>
                </c:pt>
                <c:pt idx="4">
                  <c:v>2006</c:v>
                </c:pt>
                <c:pt idx="5">
                  <c:v>2009</c:v>
                </c:pt>
              </c:numCache>
            </c:numRef>
          </c:cat>
          <c:val>
            <c:numRef>
              <c:f>Sheet1!$G$2:$G$7</c:f>
              <c:numCache>
                <c:formatCode>General</c:formatCode>
                <c:ptCount val="6"/>
                <c:pt idx="0">
                  <c:v>15.3</c:v>
                </c:pt>
                <c:pt idx="1">
                  <c:v>10.199999999999999</c:v>
                </c:pt>
                <c:pt idx="2">
                  <c:v>8.5</c:v>
                </c:pt>
                <c:pt idx="3">
                  <c:v>8.9</c:v>
                </c:pt>
                <c:pt idx="4">
                  <c:v>8.9</c:v>
                </c:pt>
                <c:pt idx="5">
                  <c:v>7.6</c:v>
                </c:pt>
              </c:numCache>
            </c:numRef>
          </c:val>
        </c:ser>
        <c:ser>
          <c:idx val="6"/>
          <c:order val="6"/>
          <c:tx>
            <c:strRef>
              <c:f>Sheet1!$H$1</c:f>
              <c:strCache>
                <c:ptCount val="1"/>
                <c:pt idx="0">
                  <c:v>Others</c:v>
                </c:pt>
              </c:strCache>
            </c:strRef>
          </c:tx>
          <c:spPr>
            <a:ln w="25400">
              <a:noFill/>
            </a:ln>
          </c:spPr>
          <c:dLbls>
            <c:dLbl>
              <c:idx val="0"/>
              <c:layout>
                <c:manualLayout>
                  <c:x val="1.1556685542586386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ahoma" pitchFamily="34" charset="0"/>
                    <a:cs typeface="Tahoma"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6"/>
                <c:pt idx="0">
                  <c:v>1991</c:v>
                </c:pt>
                <c:pt idx="1">
                  <c:v>1996</c:v>
                </c:pt>
                <c:pt idx="2">
                  <c:v>2001</c:v>
                </c:pt>
                <c:pt idx="3">
                  <c:v>2003</c:v>
                </c:pt>
                <c:pt idx="4">
                  <c:v>2006</c:v>
                </c:pt>
                <c:pt idx="5">
                  <c:v>2009</c:v>
                </c:pt>
              </c:numCache>
            </c:numRef>
          </c:cat>
          <c:val>
            <c:numRef>
              <c:f>Sheet1!$H$2:$H$7</c:f>
              <c:numCache>
                <c:formatCode>General</c:formatCode>
                <c:ptCount val="6"/>
                <c:pt idx="0">
                  <c:v>4</c:v>
                </c:pt>
                <c:pt idx="1">
                  <c:v>1.8</c:v>
                </c:pt>
                <c:pt idx="2">
                  <c:v>3</c:v>
                </c:pt>
                <c:pt idx="3">
                  <c:v>1.7</c:v>
                </c:pt>
                <c:pt idx="4">
                  <c:v>1.4</c:v>
                </c:pt>
                <c:pt idx="5">
                  <c:v>4.5999999999999996</c:v>
                </c:pt>
              </c:numCache>
            </c:numRef>
          </c:val>
        </c:ser>
        <c:dLbls>
          <c:showLegendKey val="0"/>
          <c:showVal val="0"/>
          <c:showCatName val="0"/>
          <c:showSerName val="0"/>
          <c:showPercent val="0"/>
          <c:showBubbleSize val="0"/>
        </c:dLbls>
        <c:axId val="282593152"/>
        <c:axId val="282594688"/>
      </c:areaChart>
      <c:catAx>
        <c:axId val="282593152"/>
        <c:scaling>
          <c:orientation val="minMax"/>
        </c:scaling>
        <c:delete val="0"/>
        <c:axPos val="b"/>
        <c:numFmt formatCode="General" sourceLinked="1"/>
        <c:majorTickMark val="out"/>
        <c:minorTickMark val="none"/>
        <c:tickLblPos val="nextTo"/>
        <c:txPr>
          <a:bodyPr/>
          <a:lstStyle/>
          <a:p>
            <a:pPr>
              <a:defRPr sz="800">
                <a:latin typeface="Tahoma" pitchFamily="34" charset="0"/>
                <a:cs typeface="Tahoma" pitchFamily="34" charset="0"/>
              </a:defRPr>
            </a:pPr>
            <a:endParaRPr lang="en-US"/>
          </a:p>
        </c:txPr>
        <c:crossAx val="282594688"/>
        <c:crosses val="autoZero"/>
        <c:auto val="1"/>
        <c:lblAlgn val="ctr"/>
        <c:lblOffset val="100"/>
        <c:noMultiLvlLbl val="0"/>
      </c:catAx>
      <c:valAx>
        <c:axId val="282594688"/>
        <c:scaling>
          <c:orientation val="minMax"/>
        </c:scaling>
        <c:delete val="0"/>
        <c:axPos val="l"/>
        <c:majorGridlines/>
        <c:numFmt formatCode="0%" sourceLinked="1"/>
        <c:majorTickMark val="out"/>
        <c:minorTickMark val="none"/>
        <c:tickLblPos val="nextTo"/>
        <c:crossAx val="282593152"/>
        <c:crosses val="autoZero"/>
        <c:crossBetween val="midCat"/>
      </c:valAx>
    </c:plotArea>
    <c:legend>
      <c:legendPos val="b"/>
      <c:overlay val="0"/>
    </c:legend>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596821230679505E-2"/>
          <c:y val="0.12301587301587301"/>
          <c:w val="0.76734465088183235"/>
          <c:h val="0.67440413698287716"/>
        </c:manualLayout>
      </c:layout>
      <c:barChart>
        <c:barDir val="col"/>
        <c:grouping val="clustered"/>
        <c:varyColors val="0"/>
        <c:ser>
          <c:idx val="0"/>
          <c:order val="0"/>
          <c:tx>
            <c:strRef>
              <c:f>Sheet1!$B$1</c:f>
              <c:strCache>
                <c:ptCount val="1"/>
                <c:pt idx="0">
                  <c:v>Edu Budget</c:v>
                </c:pt>
              </c:strCache>
            </c:strRef>
          </c:tx>
          <c:spPr>
            <a:solidFill>
              <a:schemeClr val="accent1">
                <a:lumMod val="60000"/>
                <a:lumOff val="40000"/>
              </a:schemeClr>
            </a:solidFill>
          </c:spPr>
          <c:invertIfNegative val="0"/>
          <c:cat>
            <c:numRef>
              <c:f>Sheet1!$A$2:$A$11</c:f>
              <c:numCache>
                <c:formatCode>General</c:formatCode>
                <c:ptCount val="10"/>
                <c:pt idx="0">
                  <c:v>2000</c:v>
                </c:pt>
                <c:pt idx="1">
                  <c:v>2001</c:v>
                </c:pt>
                <c:pt idx="2">
                  <c:v>2002</c:v>
                </c:pt>
                <c:pt idx="3">
                  <c:v>2003</c:v>
                </c:pt>
                <c:pt idx="4">
                  <c:v>2004</c:v>
                </c:pt>
                <c:pt idx="5">
                  <c:v>2005</c:v>
                </c:pt>
                <c:pt idx="6">
                  <c:v>2006</c:v>
                </c:pt>
                <c:pt idx="7">
                  <c:v>2007</c:v>
                </c:pt>
                <c:pt idx="8">
                  <c:v>2008</c:v>
                </c:pt>
                <c:pt idx="9">
                  <c:v>2009</c:v>
                </c:pt>
              </c:numCache>
            </c:numRef>
          </c:cat>
          <c:val>
            <c:numRef>
              <c:f>Sheet1!$B$2:$B$11</c:f>
              <c:numCache>
                <c:formatCode>General</c:formatCode>
                <c:ptCount val="10"/>
                <c:pt idx="0">
                  <c:v>220031</c:v>
                </c:pt>
                <c:pt idx="1">
                  <c:v>224121.14361196975</c:v>
                </c:pt>
                <c:pt idx="2">
                  <c:v>222428.29361863979</c:v>
                </c:pt>
                <c:pt idx="3">
                  <c:v>231795.13267600004</c:v>
                </c:pt>
                <c:pt idx="4">
                  <c:v>187572.13346077001</c:v>
                </c:pt>
                <c:pt idx="5">
                  <c:v>245654.59072062999</c:v>
                </c:pt>
                <c:pt idx="6">
                  <c:v>275053.55734727002</c:v>
                </c:pt>
                <c:pt idx="7">
                  <c:v>327796.35177587002</c:v>
                </c:pt>
                <c:pt idx="8">
                  <c:v>353198.44199999992</c:v>
                </c:pt>
                <c:pt idx="9">
                  <c:v>380537.36300000007</c:v>
                </c:pt>
              </c:numCache>
            </c:numRef>
          </c:val>
        </c:ser>
        <c:dLbls>
          <c:showLegendKey val="0"/>
          <c:showVal val="0"/>
          <c:showCatName val="0"/>
          <c:showSerName val="0"/>
          <c:showPercent val="0"/>
          <c:showBubbleSize val="0"/>
        </c:dLbls>
        <c:gapWidth val="150"/>
        <c:axId val="282649728"/>
        <c:axId val="282651264"/>
      </c:barChart>
      <c:lineChart>
        <c:grouping val="standard"/>
        <c:varyColors val="0"/>
        <c:ser>
          <c:idx val="1"/>
          <c:order val="1"/>
          <c:tx>
            <c:strRef>
              <c:f>Sheet1!$C$1</c:f>
              <c:strCache>
                <c:ptCount val="1"/>
                <c:pt idx="0">
                  <c:v>% total budget</c:v>
                </c:pt>
              </c:strCache>
            </c:strRef>
          </c:tx>
          <c:spPr>
            <a:ln>
              <a:solidFill>
                <a:srgbClr val="FF3300"/>
              </a:solidFill>
            </a:ln>
          </c:spPr>
          <c:marker>
            <c:symbol val="none"/>
          </c:marker>
          <c:cat>
            <c:numRef>
              <c:f>Sheet1!$A$2:$A$11</c:f>
              <c:numCache>
                <c:formatCode>General</c:formatCode>
                <c:ptCount val="10"/>
                <c:pt idx="0">
                  <c:v>2000</c:v>
                </c:pt>
                <c:pt idx="1">
                  <c:v>2001</c:v>
                </c:pt>
                <c:pt idx="2">
                  <c:v>2002</c:v>
                </c:pt>
                <c:pt idx="3">
                  <c:v>2003</c:v>
                </c:pt>
                <c:pt idx="4">
                  <c:v>2004</c:v>
                </c:pt>
                <c:pt idx="5">
                  <c:v>2005</c:v>
                </c:pt>
                <c:pt idx="6">
                  <c:v>2006</c:v>
                </c:pt>
                <c:pt idx="7">
                  <c:v>2007</c:v>
                </c:pt>
                <c:pt idx="8">
                  <c:v>2008</c:v>
                </c:pt>
                <c:pt idx="9">
                  <c:v>2009</c:v>
                </c:pt>
              </c:numCache>
            </c:numRef>
          </c:cat>
          <c:val>
            <c:numRef>
              <c:f>Sheet1!$C$2:$C$11</c:f>
              <c:numCache>
                <c:formatCode>General</c:formatCode>
                <c:ptCount val="10"/>
                <c:pt idx="0">
                  <c:v>25.82</c:v>
                </c:pt>
                <c:pt idx="1">
                  <c:v>25.126702955808156</c:v>
                </c:pt>
                <c:pt idx="2">
                  <c:v>22.254072304198409</c:v>
                </c:pt>
                <c:pt idx="3">
                  <c:v>23.820369001446714</c:v>
                </c:pt>
                <c:pt idx="4">
                  <c:v>22.46486532163318</c:v>
                </c:pt>
                <c:pt idx="5">
                  <c:v>21.59456783014199</c:v>
                </c:pt>
                <c:pt idx="6">
                  <c:v>21.645162647742413</c:v>
                </c:pt>
                <c:pt idx="7">
                  <c:v>22.261022986554615</c:v>
                </c:pt>
                <c:pt idx="8">
                  <c:v>22.88128562223995</c:v>
                </c:pt>
                <c:pt idx="9">
                  <c:v>21.249652771907279</c:v>
                </c:pt>
              </c:numCache>
            </c:numRef>
          </c:val>
          <c:smooth val="0"/>
        </c:ser>
        <c:dLbls>
          <c:showLegendKey val="0"/>
          <c:showVal val="0"/>
          <c:showCatName val="0"/>
          <c:showSerName val="0"/>
          <c:showPercent val="0"/>
          <c:showBubbleSize val="0"/>
        </c:dLbls>
        <c:marker val="1"/>
        <c:smooth val="0"/>
        <c:axId val="282655360"/>
        <c:axId val="282653440"/>
      </c:lineChart>
      <c:catAx>
        <c:axId val="282649728"/>
        <c:scaling>
          <c:orientation val="minMax"/>
        </c:scaling>
        <c:delete val="0"/>
        <c:axPos val="b"/>
        <c:numFmt formatCode="General" sourceLinked="1"/>
        <c:majorTickMark val="out"/>
        <c:minorTickMark val="none"/>
        <c:tickLblPos val="nextTo"/>
        <c:crossAx val="282651264"/>
        <c:crosses val="autoZero"/>
        <c:auto val="1"/>
        <c:lblAlgn val="ctr"/>
        <c:lblOffset val="100"/>
        <c:noMultiLvlLbl val="0"/>
      </c:catAx>
      <c:valAx>
        <c:axId val="282651264"/>
        <c:scaling>
          <c:orientation val="minMax"/>
        </c:scaling>
        <c:delete val="0"/>
        <c:axPos val="l"/>
        <c:majorGridlines/>
        <c:title>
          <c:tx>
            <c:rich>
              <a:bodyPr rot="0" vert="horz"/>
              <a:lstStyle/>
              <a:p>
                <a:pPr>
                  <a:defRPr b="0"/>
                </a:pPr>
                <a:r>
                  <a:rPr lang="en-US" b="0"/>
                  <a:t>Million Baht</a:t>
                </a:r>
              </a:p>
            </c:rich>
          </c:tx>
          <c:layout>
            <c:manualLayout>
              <c:xMode val="edge"/>
              <c:yMode val="edge"/>
              <c:x val="3.0416137750776399E-2"/>
              <c:y val="9.0054997542268127E-4"/>
            </c:manualLayout>
          </c:layout>
          <c:overlay val="0"/>
        </c:title>
        <c:numFmt formatCode="#,##0" sourceLinked="0"/>
        <c:majorTickMark val="out"/>
        <c:minorTickMark val="none"/>
        <c:tickLblPos val="nextTo"/>
        <c:crossAx val="282649728"/>
        <c:crosses val="autoZero"/>
        <c:crossBetween val="between"/>
      </c:valAx>
      <c:valAx>
        <c:axId val="282653440"/>
        <c:scaling>
          <c:orientation val="minMax"/>
        </c:scaling>
        <c:delete val="0"/>
        <c:axPos val="r"/>
        <c:title>
          <c:tx>
            <c:rich>
              <a:bodyPr rot="0" vert="horz"/>
              <a:lstStyle/>
              <a:p>
                <a:pPr>
                  <a:defRPr b="0"/>
                </a:pPr>
                <a:r>
                  <a:rPr lang="en-US" b="0"/>
                  <a:t>%</a:t>
                </a:r>
              </a:p>
            </c:rich>
          </c:tx>
          <c:layout>
            <c:manualLayout>
              <c:xMode val="edge"/>
              <c:yMode val="edge"/>
              <c:x val="0.84895190533039855"/>
              <c:y val="2.2155264511534049E-2"/>
            </c:manualLayout>
          </c:layout>
          <c:overlay val="0"/>
        </c:title>
        <c:numFmt formatCode="General" sourceLinked="1"/>
        <c:majorTickMark val="out"/>
        <c:minorTickMark val="none"/>
        <c:tickLblPos val="nextTo"/>
        <c:crossAx val="282655360"/>
        <c:crosses val="max"/>
        <c:crossBetween val="between"/>
      </c:valAx>
      <c:catAx>
        <c:axId val="282655360"/>
        <c:scaling>
          <c:orientation val="minMax"/>
        </c:scaling>
        <c:delete val="1"/>
        <c:axPos val="b"/>
        <c:numFmt formatCode="General" sourceLinked="1"/>
        <c:majorTickMark val="out"/>
        <c:minorTickMark val="none"/>
        <c:tickLblPos val="nextTo"/>
        <c:crossAx val="282653440"/>
        <c:crosses val="autoZero"/>
        <c:auto val="1"/>
        <c:lblAlgn val="ctr"/>
        <c:lblOffset val="100"/>
        <c:noMultiLvlLbl val="0"/>
      </c:catAx>
    </c:plotArea>
    <c:legend>
      <c:legendPos val="b"/>
      <c:layout>
        <c:manualLayout>
          <c:xMode val="edge"/>
          <c:yMode val="edge"/>
          <c:x val="0.22187700495771362"/>
          <c:y val="0.91445069366329212"/>
          <c:w val="0.50649871337184627"/>
          <c:h val="8.5549317352652601E-2"/>
        </c:manualLayout>
      </c:layout>
      <c:overlay val="0"/>
    </c:legend>
    <c:plotVisOnly val="1"/>
    <c:dispBlanksAs val="gap"/>
    <c:showDLblsOverMax val="0"/>
  </c:chart>
  <c:spPr>
    <a:ln>
      <a:noFill/>
    </a:ln>
  </c:spPr>
  <c:txPr>
    <a:bodyPr/>
    <a:lstStyle/>
    <a:p>
      <a:pPr>
        <a:defRPr sz="800">
          <a:latin typeface="Tahoma" pitchFamily="34" charset="0"/>
          <a:cs typeface="Tahoma"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596821230679505E-2"/>
          <c:y val="0.12301587301587301"/>
          <c:w val="0.76734465088183235"/>
          <c:h val="0.65298506361403619"/>
        </c:manualLayout>
      </c:layout>
      <c:barChart>
        <c:barDir val="col"/>
        <c:grouping val="clustered"/>
        <c:varyColors val="0"/>
        <c:ser>
          <c:idx val="0"/>
          <c:order val="0"/>
          <c:tx>
            <c:strRef>
              <c:f>Sheet1!$B$1</c:f>
              <c:strCache>
                <c:ptCount val="1"/>
                <c:pt idx="0">
                  <c:v>Recipients</c:v>
                </c:pt>
              </c:strCache>
            </c:strRef>
          </c:tx>
          <c:spPr>
            <a:solidFill>
              <a:schemeClr val="accent1">
                <a:lumMod val="60000"/>
                <a:lumOff val="40000"/>
              </a:schemeClr>
            </a:solidFill>
          </c:spPr>
          <c:invertIfNegative val="0"/>
          <c:cat>
            <c:numRef>
              <c:f>Sheet1!$A$2:$A$21</c:f>
              <c:numCache>
                <c:formatCode>General</c:formatCode>
                <c:ptCount val="20"/>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numCache>
            </c:numRef>
          </c:cat>
          <c:val>
            <c:numRef>
              <c:f>Sheet1!$B$2:$B$21</c:f>
              <c:numCache>
                <c:formatCode>_-* #,##0_-;\-* #,##0_-;_-* "-"??_-;_-@_-</c:formatCode>
                <c:ptCount val="20"/>
                <c:pt idx="0">
                  <c:v>20000</c:v>
                </c:pt>
                <c:pt idx="1">
                  <c:v>20000</c:v>
                </c:pt>
                <c:pt idx="2">
                  <c:v>110850</c:v>
                </c:pt>
                <c:pt idx="3">
                  <c:v>183880</c:v>
                </c:pt>
                <c:pt idx="4">
                  <c:v>291970</c:v>
                </c:pt>
                <c:pt idx="5">
                  <c:v>318000</c:v>
                </c:pt>
                <c:pt idx="6">
                  <c:v>400000</c:v>
                </c:pt>
                <c:pt idx="7">
                  <c:v>400000</c:v>
                </c:pt>
                <c:pt idx="8">
                  <c:v>400000</c:v>
                </c:pt>
                <c:pt idx="9">
                  <c:v>399362</c:v>
                </c:pt>
                <c:pt idx="10">
                  <c:v>401438</c:v>
                </c:pt>
                <c:pt idx="11">
                  <c:v>441238</c:v>
                </c:pt>
                <c:pt idx="12">
                  <c:v>529977</c:v>
                </c:pt>
                <c:pt idx="13">
                  <c:v>1086484</c:v>
                </c:pt>
                <c:pt idx="14">
                  <c:v>1771090</c:v>
                </c:pt>
                <c:pt idx="15">
                  <c:v>1772666</c:v>
                </c:pt>
                <c:pt idx="16">
                  <c:v>5448940</c:v>
                </c:pt>
                <c:pt idx="17">
                  <c:v>5652837</c:v>
                </c:pt>
                <c:pt idx="18">
                  <c:v>6521749</c:v>
                </c:pt>
                <c:pt idx="19">
                  <c:v>7045894</c:v>
                </c:pt>
              </c:numCache>
            </c:numRef>
          </c:val>
        </c:ser>
        <c:dLbls>
          <c:showLegendKey val="0"/>
          <c:showVal val="0"/>
          <c:showCatName val="0"/>
          <c:showSerName val="0"/>
          <c:showPercent val="0"/>
          <c:showBubbleSize val="0"/>
        </c:dLbls>
        <c:gapWidth val="150"/>
        <c:axId val="282694400"/>
        <c:axId val="282695936"/>
      </c:barChart>
      <c:lineChart>
        <c:grouping val="standard"/>
        <c:varyColors val="0"/>
        <c:ser>
          <c:idx val="1"/>
          <c:order val="1"/>
          <c:tx>
            <c:strRef>
              <c:f>Sheet1!$C$1</c:f>
              <c:strCache>
                <c:ptCount val="1"/>
                <c:pt idx="0">
                  <c:v>Government Budget </c:v>
                </c:pt>
              </c:strCache>
            </c:strRef>
          </c:tx>
          <c:spPr>
            <a:ln>
              <a:solidFill>
                <a:srgbClr val="FF3300"/>
              </a:solidFill>
            </a:ln>
          </c:spPr>
          <c:marker>
            <c:symbol val="none"/>
          </c:marker>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9"/>
              <c:layout>
                <c:manualLayout>
                  <c:x val="-8.8102881541218356E-2"/>
                  <c:y val="-3.1197623873228275E-2"/>
                </c:manualLayout>
              </c:layout>
              <c:dLblPos val="r"/>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Sheet1!$A$2:$A$21</c:f>
              <c:numCache>
                <c:formatCode>General</c:formatCode>
                <c:ptCount val="20"/>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numCache>
            </c:numRef>
          </c:cat>
          <c:val>
            <c:numRef>
              <c:f>Sheet1!$C$2:$C$21</c:f>
              <c:numCache>
                <c:formatCode>_(* #,##0.00_);_(* \(#,##0.00\);_(* "-"??_);_(@_)</c:formatCode>
                <c:ptCount val="20"/>
                <c:pt idx="0">
                  <c:v>32</c:v>
                </c:pt>
                <c:pt idx="1">
                  <c:v>48</c:v>
                </c:pt>
                <c:pt idx="2">
                  <c:v>266.04000000000002</c:v>
                </c:pt>
                <c:pt idx="3">
                  <c:v>441.32</c:v>
                </c:pt>
                <c:pt idx="4">
                  <c:v>700.73</c:v>
                </c:pt>
                <c:pt idx="5">
                  <c:v>763.2</c:v>
                </c:pt>
                <c:pt idx="6">
                  <c:v>1101.5999999999999</c:v>
                </c:pt>
                <c:pt idx="7">
                  <c:v>1440</c:v>
                </c:pt>
                <c:pt idx="8">
                  <c:v>1440</c:v>
                </c:pt>
                <c:pt idx="9">
                  <c:v>1437.7</c:v>
                </c:pt>
                <c:pt idx="10">
                  <c:v>1448.63</c:v>
                </c:pt>
                <c:pt idx="11">
                  <c:v>1591.43</c:v>
                </c:pt>
                <c:pt idx="12">
                  <c:v>1906.18</c:v>
                </c:pt>
                <c:pt idx="13">
                  <c:v>3920.78</c:v>
                </c:pt>
                <c:pt idx="14">
                  <c:v>10626.54</c:v>
                </c:pt>
                <c:pt idx="15">
                  <c:v>10620.13</c:v>
                </c:pt>
                <c:pt idx="16">
                  <c:v>21963.67</c:v>
                </c:pt>
                <c:pt idx="17">
                  <c:v>32778.9</c:v>
                </c:pt>
                <c:pt idx="18">
                  <c:v>37893.4</c:v>
                </c:pt>
                <c:pt idx="19">
                  <c:v>53608.37</c:v>
                </c:pt>
              </c:numCache>
            </c:numRef>
          </c:val>
          <c:smooth val="0"/>
        </c:ser>
        <c:dLbls>
          <c:showLegendKey val="0"/>
          <c:showVal val="0"/>
          <c:showCatName val="0"/>
          <c:showSerName val="0"/>
          <c:showPercent val="0"/>
          <c:showBubbleSize val="0"/>
        </c:dLbls>
        <c:marker val="1"/>
        <c:smooth val="0"/>
        <c:axId val="282704896"/>
        <c:axId val="282702976"/>
      </c:lineChart>
      <c:catAx>
        <c:axId val="282694400"/>
        <c:scaling>
          <c:orientation val="minMax"/>
        </c:scaling>
        <c:delete val="0"/>
        <c:axPos val="b"/>
        <c:numFmt formatCode="General" sourceLinked="1"/>
        <c:majorTickMark val="out"/>
        <c:minorTickMark val="none"/>
        <c:tickLblPos val="nextTo"/>
        <c:crossAx val="282695936"/>
        <c:crosses val="autoZero"/>
        <c:auto val="1"/>
        <c:lblAlgn val="ctr"/>
        <c:lblOffset val="100"/>
        <c:noMultiLvlLbl val="0"/>
      </c:catAx>
      <c:valAx>
        <c:axId val="282695936"/>
        <c:scaling>
          <c:orientation val="minMax"/>
        </c:scaling>
        <c:delete val="0"/>
        <c:axPos val="l"/>
        <c:majorGridlines/>
        <c:title>
          <c:tx>
            <c:rich>
              <a:bodyPr rot="0" vert="horz"/>
              <a:lstStyle/>
              <a:p>
                <a:pPr>
                  <a:defRPr b="0"/>
                </a:pPr>
                <a:r>
                  <a:rPr lang="en-US" b="0"/>
                  <a:t>Persons</a:t>
                </a:r>
              </a:p>
            </c:rich>
          </c:tx>
          <c:layout>
            <c:manualLayout>
              <c:xMode val="edge"/>
              <c:yMode val="edge"/>
              <c:x val="3.0416137750776399E-2"/>
              <c:y val="9.0054997542268127E-4"/>
            </c:manualLayout>
          </c:layout>
          <c:overlay val="0"/>
        </c:title>
        <c:numFmt formatCode="#,##0" sourceLinked="0"/>
        <c:majorTickMark val="out"/>
        <c:minorTickMark val="none"/>
        <c:tickLblPos val="nextTo"/>
        <c:crossAx val="282694400"/>
        <c:crosses val="autoZero"/>
        <c:crossBetween val="between"/>
      </c:valAx>
      <c:valAx>
        <c:axId val="282702976"/>
        <c:scaling>
          <c:orientation val="minMax"/>
        </c:scaling>
        <c:delete val="0"/>
        <c:axPos val="r"/>
        <c:title>
          <c:tx>
            <c:rich>
              <a:bodyPr rot="0" vert="horz"/>
              <a:lstStyle/>
              <a:p>
                <a:pPr>
                  <a:defRPr b="0"/>
                </a:pPr>
                <a:r>
                  <a:rPr lang="en-US" b="0"/>
                  <a:t>Million Baht</a:t>
                </a:r>
              </a:p>
            </c:rich>
          </c:tx>
          <c:layout>
            <c:manualLayout>
              <c:xMode val="edge"/>
              <c:yMode val="edge"/>
              <c:x val="0.84895190533039855"/>
              <c:y val="2.2155264511534049E-2"/>
            </c:manualLayout>
          </c:layout>
          <c:overlay val="0"/>
        </c:title>
        <c:numFmt formatCode="_(* #,##0.00_);_(* \(#,##0.00\);_(* &quot;-&quot;??_);_(@_)" sourceLinked="1"/>
        <c:majorTickMark val="out"/>
        <c:minorTickMark val="none"/>
        <c:tickLblPos val="nextTo"/>
        <c:crossAx val="282704896"/>
        <c:crosses val="max"/>
        <c:crossBetween val="between"/>
      </c:valAx>
      <c:catAx>
        <c:axId val="282704896"/>
        <c:scaling>
          <c:orientation val="minMax"/>
        </c:scaling>
        <c:delete val="1"/>
        <c:axPos val="b"/>
        <c:numFmt formatCode="General" sourceLinked="1"/>
        <c:majorTickMark val="out"/>
        <c:minorTickMark val="none"/>
        <c:tickLblPos val="nextTo"/>
        <c:crossAx val="282702976"/>
        <c:crosses val="autoZero"/>
        <c:auto val="1"/>
        <c:lblAlgn val="ctr"/>
        <c:lblOffset val="100"/>
        <c:noMultiLvlLbl val="0"/>
      </c:catAx>
      <c:spPr>
        <a:noFill/>
        <a:ln w="25400">
          <a:noFill/>
        </a:ln>
      </c:spPr>
    </c:plotArea>
    <c:legend>
      <c:legendPos val="b"/>
      <c:layout>
        <c:manualLayout>
          <c:xMode val="edge"/>
          <c:yMode val="edge"/>
          <c:x val="0.21890289540514032"/>
          <c:y val="0.91445053467256521"/>
          <c:w val="0.50649871337184627"/>
          <c:h val="8.5549317352652601E-2"/>
        </c:manualLayout>
      </c:layout>
      <c:overlay val="0"/>
    </c:legend>
    <c:plotVisOnly val="1"/>
    <c:dispBlanksAs val="gap"/>
    <c:showDLblsOverMax val="0"/>
  </c:chart>
  <c:spPr>
    <a:ln>
      <a:noFill/>
    </a:ln>
  </c:spPr>
  <c:txPr>
    <a:bodyPr/>
    <a:lstStyle/>
    <a:p>
      <a:pPr>
        <a:defRPr sz="800">
          <a:latin typeface="Tahoma" pitchFamily="34" charset="0"/>
          <a:cs typeface="Tahoma"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c</c:v>
          </c:tx>
          <c:spPr>
            <a:ln w="25400" cap="rnd">
              <a:noFill/>
              <a:round/>
            </a:ln>
            <a:effectLst/>
          </c:spPr>
          <c:marker>
            <c:symbol val="circle"/>
            <c:size val="5"/>
            <c:spPr>
              <a:solidFill>
                <a:schemeClr val="accent1"/>
              </a:solidFill>
              <a:ln w="9525">
                <a:solidFill>
                  <a:schemeClr val="accent1"/>
                </a:solidFill>
              </a:ln>
              <a:effectLst/>
            </c:spPr>
          </c:marker>
          <c:xVal>
            <c:numRef>
              <c:f>Sheet1!$C$1:$CO$1</c:f>
              <c:numCache>
                <c:formatCode>General</c:formatCode>
                <c:ptCount val="9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numCache>
            </c:numRef>
          </c:xVal>
          <c:yVal>
            <c:numRef>
              <c:f>Sheet1!$C$9:$CO$9</c:f>
              <c:numCache>
                <c:formatCode>General</c:formatCode>
                <c:ptCount val="91"/>
                <c:pt idx="0">
                  <c:v>0.33467636119780309</c:v>
                </c:pt>
                <c:pt idx="1">
                  <c:v>0.33907997355858538</c:v>
                </c:pt>
                <c:pt idx="2">
                  <c:v>0.35440441644361592</c:v>
                </c:pt>
                <c:pt idx="3">
                  <c:v>0.39337997455680429</c:v>
                </c:pt>
                <c:pt idx="4">
                  <c:v>0.45083712318282254</c:v>
                </c:pt>
                <c:pt idx="5">
                  <c:v>0.49838307649833979</c:v>
                </c:pt>
                <c:pt idx="6">
                  <c:v>0.59015593835878266</c:v>
                </c:pt>
                <c:pt idx="7">
                  <c:v>0.64407188648509672</c:v>
                </c:pt>
                <c:pt idx="8">
                  <c:v>0.66269426684287047</c:v>
                </c:pt>
                <c:pt idx="9">
                  <c:v>0.67774998051271118</c:v>
                </c:pt>
                <c:pt idx="10">
                  <c:v>0.70237187184595196</c:v>
                </c:pt>
                <c:pt idx="11">
                  <c:v>0.71713873098044867</c:v>
                </c:pt>
                <c:pt idx="12">
                  <c:v>0.70574491856708266</c:v>
                </c:pt>
                <c:pt idx="13">
                  <c:v>0.74077553995687817</c:v>
                </c:pt>
                <c:pt idx="14">
                  <c:v>0.79583707863556896</c:v>
                </c:pt>
                <c:pt idx="15">
                  <c:v>0.70563688656983548</c:v>
                </c:pt>
                <c:pt idx="16">
                  <c:v>0.70508958631600127</c:v>
                </c:pt>
                <c:pt idx="17">
                  <c:v>0.72714723798155156</c:v>
                </c:pt>
                <c:pt idx="18">
                  <c:v>1.0200630699868696</c:v>
                </c:pt>
                <c:pt idx="19">
                  <c:v>0.84507856463462072</c:v>
                </c:pt>
                <c:pt idx="20">
                  <c:v>0.82001543798816434</c:v>
                </c:pt>
                <c:pt idx="21">
                  <c:v>0.83689908243356725</c:v>
                </c:pt>
                <c:pt idx="22">
                  <c:v>0.80855448058623258</c:v>
                </c:pt>
                <c:pt idx="23">
                  <c:v>0.78139763279078256</c:v>
                </c:pt>
                <c:pt idx="24">
                  <c:v>0.77356732141741713</c:v>
                </c:pt>
                <c:pt idx="25">
                  <c:v>0.78327437261951849</c:v>
                </c:pt>
                <c:pt idx="26">
                  <c:v>0.77993383724533005</c:v>
                </c:pt>
                <c:pt idx="27">
                  <c:v>0.7789081163582684</c:v>
                </c:pt>
                <c:pt idx="28">
                  <c:v>0.78404435137808737</c:v>
                </c:pt>
                <c:pt idx="29">
                  <c:v>0.79125904820291215</c:v>
                </c:pt>
                <c:pt idx="30">
                  <c:v>0.7860738884156574</c:v>
                </c:pt>
                <c:pt idx="31">
                  <c:v>0.78100493168524776</c:v>
                </c:pt>
                <c:pt idx="32">
                  <c:v>0.77216674931658968</c:v>
                </c:pt>
                <c:pt idx="33">
                  <c:v>0.76846485136233844</c:v>
                </c:pt>
                <c:pt idx="34">
                  <c:v>0.76556309064118944</c:v>
                </c:pt>
                <c:pt idx="35">
                  <c:v>0.75870653577861857</c:v>
                </c:pt>
                <c:pt idx="36">
                  <c:v>0.75456095335403606</c:v>
                </c:pt>
                <c:pt idx="37">
                  <c:v>0.74700948347442653</c:v>
                </c:pt>
                <c:pt idx="38">
                  <c:v>0.74335157813526143</c:v>
                </c:pt>
                <c:pt idx="39">
                  <c:v>0.74250265455436082</c:v>
                </c:pt>
                <c:pt idx="40">
                  <c:v>0.73937388871441811</c:v>
                </c:pt>
                <c:pt idx="41">
                  <c:v>0.73583807109073418</c:v>
                </c:pt>
                <c:pt idx="42">
                  <c:v>0.73761789100064201</c:v>
                </c:pt>
                <c:pt idx="43">
                  <c:v>0.73129358539469913</c:v>
                </c:pt>
                <c:pt idx="44">
                  <c:v>0.73378587402336937</c:v>
                </c:pt>
                <c:pt idx="45">
                  <c:v>0.73547864944458419</c:v>
                </c:pt>
                <c:pt idx="46">
                  <c:v>0.73452561328780175</c:v>
                </c:pt>
                <c:pt idx="47">
                  <c:v>0.74019967311103096</c:v>
                </c:pt>
                <c:pt idx="48">
                  <c:v>0.74884188054381817</c:v>
                </c:pt>
                <c:pt idx="49">
                  <c:v>0.75465873844870668</c:v>
                </c:pt>
                <c:pt idx="50">
                  <c:v>0.76153442206228217</c:v>
                </c:pt>
                <c:pt idx="51">
                  <c:v>0.76942702548799602</c:v>
                </c:pt>
                <c:pt idx="52">
                  <c:v>0.7790835399475744</c:v>
                </c:pt>
                <c:pt idx="53">
                  <c:v>0.78222499551018099</c:v>
                </c:pt>
                <c:pt idx="54">
                  <c:v>0.78594245006723917</c:v>
                </c:pt>
                <c:pt idx="55">
                  <c:v>0.78299031263189389</c:v>
                </c:pt>
                <c:pt idx="56">
                  <c:v>0.77837792728337751</c:v>
                </c:pt>
                <c:pt idx="57">
                  <c:v>0.77091286663086167</c:v>
                </c:pt>
                <c:pt idx="58">
                  <c:v>0.76402168467182219</c:v>
                </c:pt>
                <c:pt idx="59">
                  <c:v>0.75777026501716604</c:v>
                </c:pt>
                <c:pt idx="60">
                  <c:v>0.74660094672872201</c:v>
                </c:pt>
                <c:pt idx="61">
                  <c:v>0.74010268223547382</c:v>
                </c:pt>
                <c:pt idx="62">
                  <c:v>0.73545614789125147</c:v>
                </c:pt>
                <c:pt idx="63">
                  <c:v>0.73201657673120124</c:v>
                </c:pt>
                <c:pt idx="64">
                  <c:v>0.72920237698441315</c:v>
                </c:pt>
                <c:pt idx="65">
                  <c:v>0.72657834197587778</c:v>
                </c:pt>
                <c:pt idx="66">
                  <c:v>0.72384190809085192</c:v>
                </c:pt>
                <c:pt idx="67">
                  <c:v>0.72099922441017505</c:v>
                </c:pt>
                <c:pt idx="68">
                  <c:v>0.71788887277566504</c:v>
                </c:pt>
                <c:pt idx="69">
                  <c:v>0.71549568520360785</c:v>
                </c:pt>
                <c:pt idx="70">
                  <c:v>0.71323066365595245</c:v>
                </c:pt>
                <c:pt idx="71">
                  <c:v>0.71178643201621827</c:v>
                </c:pt>
                <c:pt idx="72">
                  <c:v>0.71072127163810084</c:v>
                </c:pt>
                <c:pt idx="73">
                  <c:v>0.70947822386910808</c:v>
                </c:pt>
                <c:pt idx="74">
                  <c:v>0.7081697038467416</c:v>
                </c:pt>
                <c:pt idx="75">
                  <c:v>0.70666312026346179</c:v>
                </c:pt>
                <c:pt idx="76">
                  <c:v>0.70500772880158902</c:v>
                </c:pt>
                <c:pt idx="77">
                  <c:v>0.70346071663126253</c:v>
                </c:pt>
                <c:pt idx="78">
                  <c:v>0.7015692908334864</c:v>
                </c:pt>
                <c:pt idx="79">
                  <c:v>0.69975931313129824</c:v>
                </c:pt>
                <c:pt idx="80">
                  <c:v>0.69821219600440798</c:v>
                </c:pt>
                <c:pt idx="81">
                  <c:v>0.69713345326293874</c:v>
                </c:pt>
                <c:pt idx="82">
                  <c:v>0.69613603018634607</c:v>
                </c:pt>
                <c:pt idx="83">
                  <c:v>0.69584051682737769</c:v>
                </c:pt>
                <c:pt idx="84">
                  <c:v>0.69639623174705922</c:v>
                </c:pt>
                <c:pt idx="85">
                  <c:v>0.69766300510710966</c:v>
                </c:pt>
                <c:pt idx="86">
                  <c:v>0.69831599838940861</c:v>
                </c:pt>
                <c:pt idx="87">
                  <c:v>0.69861686542534074</c:v>
                </c:pt>
                <c:pt idx="88">
                  <c:v>0.69915243838566954</c:v>
                </c:pt>
                <c:pt idx="89">
                  <c:v>0.69905513822295051</c:v>
                </c:pt>
                <c:pt idx="90">
                  <c:v>0.69846159431868127</c:v>
                </c:pt>
              </c:numCache>
            </c:numRef>
          </c:yVal>
          <c:smooth val="0"/>
        </c:ser>
        <c:ser>
          <c:idx val="1"/>
          <c:order val="1"/>
          <c:tx>
            <c:v>yl</c:v>
          </c:tx>
          <c:spPr>
            <a:ln w="25400" cap="rnd">
              <a:noFill/>
              <a:round/>
            </a:ln>
            <a:effectLst/>
          </c:spPr>
          <c:marker>
            <c:symbol val="circle"/>
            <c:size val="5"/>
            <c:spPr>
              <a:solidFill>
                <a:schemeClr val="accent2"/>
              </a:solidFill>
              <a:ln w="9525">
                <a:solidFill>
                  <a:schemeClr val="accent2"/>
                </a:solidFill>
              </a:ln>
              <a:effectLst/>
            </c:spPr>
          </c:marker>
          <c:xVal>
            <c:numRef>
              <c:f>Sheet1!$C$1:$CO$1</c:f>
              <c:numCache>
                <c:formatCode>General</c:formatCode>
                <c:ptCount val="9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numCache>
            </c:numRef>
          </c:xVal>
          <c:yVal>
            <c:numRef>
              <c:f>Sheet1!$C$10:$CO$10</c:f>
              <c:numCache>
                <c:formatCode>General</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1.1030773541191242E-2</c:v>
                </c:pt>
                <c:pt idx="16">
                  <c:v>3.9836551376294736E-2</c:v>
                </c:pt>
                <c:pt idx="17">
                  <c:v>8.2756494012578841E-2</c:v>
                </c:pt>
                <c:pt idx="18">
                  <c:v>0.12828353222575123</c:v>
                </c:pt>
                <c:pt idx="19">
                  <c:v>0.1802112912068615</c:v>
                </c:pt>
                <c:pt idx="20">
                  <c:v>0.23860834005974316</c:v>
                </c:pt>
                <c:pt idx="21">
                  <c:v>0.3003919962622647</c:v>
                </c:pt>
                <c:pt idx="22">
                  <c:v>0.37115894479523065</c:v>
                </c:pt>
                <c:pt idx="23">
                  <c:v>0.44839199163277316</c:v>
                </c:pt>
                <c:pt idx="24">
                  <c:v>0.5240508786403828</c:v>
                </c:pt>
                <c:pt idx="25">
                  <c:v>0.60126536039148526</c:v>
                </c:pt>
                <c:pt idx="26">
                  <c:v>0.67393016793376304</c:v>
                </c:pt>
                <c:pt idx="27">
                  <c:v>0.73313701096301043</c:v>
                </c:pt>
                <c:pt idx="28">
                  <c:v>0.78097588697613185</c:v>
                </c:pt>
                <c:pt idx="29">
                  <c:v>0.82554210015721896</c:v>
                </c:pt>
                <c:pt idx="30">
                  <c:v>0.85579007036043009</c:v>
                </c:pt>
                <c:pt idx="31">
                  <c:v>0.88237533699917636</c:v>
                </c:pt>
                <c:pt idx="32">
                  <c:v>0.90473317405801501</c:v>
                </c:pt>
                <c:pt idx="33">
                  <c:v>0.92477318851687973</c:v>
                </c:pt>
                <c:pt idx="34">
                  <c:v>0.94099541929135622</c:v>
                </c:pt>
                <c:pt idx="35">
                  <c:v>0.96015653619442032</c:v>
                </c:pt>
                <c:pt idx="36">
                  <c:v>0.97641343967129257</c:v>
                </c:pt>
                <c:pt idx="37">
                  <c:v>0.99736332946579664</c:v>
                </c:pt>
                <c:pt idx="38">
                  <c:v>1.0177667296496873</c:v>
                </c:pt>
                <c:pt idx="39">
                  <c:v>1.0368466599491364</c:v>
                </c:pt>
                <c:pt idx="40">
                  <c:v>1.0444600334139837</c:v>
                </c:pt>
                <c:pt idx="41">
                  <c:v>1.0487880715174116</c:v>
                </c:pt>
                <c:pt idx="42">
                  <c:v>1.0447515918988084</c:v>
                </c:pt>
                <c:pt idx="43">
                  <c:v>1.0358187803053684</c:v>
                </c:pt>
                <c:pt idx="44">
                  <c:v>1.0257098119244568</c:v>
                </c:pt>
                <c:pt idx="45">
                  <c:v>1.0289398671923224</c:v>
                </c:pt>
                <c:pt idx="46">
                  <c:v>1.0388491465357519</c:v>
                </c:pt>
                <c:pt idx="47">
                  <c:v>1.0530041301028075</c:v>
                </c:pt>
                <c:pt idx="48">
                  <c:v>1.0777005351998961</c:v>
                </c:pt>
                <c:pt idx="49">
                  <c:v>1.1047641477529977</c:v>
                </c:pt>
                <c:pt idx="50">
                  <c:v>1.1207504565502109</c:v>
                </c:pt>
                <c:pt idx="51">
                  <c:v>1.1319602390069692</c:v>
                </c:pt>
                <c:pt idx="52">
                  <c:v>1.1433564304878614</c:v>
                </c:pt>
                <c:pt idx="53">
                  <c:v>1.1470813341636221</c:v>
                </c:pt>
                <c:pt idx="54">
                  <c:v>1.1300800205636723</c:v>
                </c:pt>
                <c:pt idx="55">
                  <c:v>1.1041591165053433</c:v>
                </c:pt>
                <c:pt idx="56">
                  <c:v>1.0570844450318186</c:v>
                </c:pt>
                <c:pt idx="57">
                  <c:v>0.98288676811843601</c:v>
                </c:pt>
                <c:pt idx="58">
                  <c:v>0.88117044050331028</c:v>
                </c:pt>
                <c:pt idx="59">
                  <c:v>0.77838070500587164</c:v>
                </c:pt>
                <c:pt idx="60">
                  <c:v>0.66250977590966631</c:v>
                </c:pt>
                <c:pt idx="61">
                  <c:v>0.55101446495897444</c:v>
                </c:pt>
                <c:pt idx="62">
                  <c:v>0.45644195530670756</c:v>
                </c:pt>
                <c:pt idx="63">
                  <c:v>0.38270549219136085</c:v>
                </c:pt>
                <c:pt idx="64">
                  <c:v>0.32568148583978368</c:v>
                </c:pt>
                <c:pt idx="65">
                  <c:v>0.28755235055384482</c:v>
                </c:pt>
                <c:pt idx="66">
                  <c:v>0.2619916063012756</c:v>
                </c:pt>
                <c:pt idx="67">
                  <c:v>0.24171204694663143</c:v>
                </c:pt>
                <c:pt idx="68">
                  <c:v>0.21705976282892703</c:v>
                </c:pt>
                <c:pt idx="69">
                  <c:v>0.19341359693981922</c:v>
                </c:pt>
                <c:pt idx="70">
                  <c:v>0.1722842245399431</c:v>
                </c:pt>
                <c:pt idx="71">
                  <c:v>0.14850087754103358</c:v>
                </c:pt>
                <c:pt idx="72">
                  <c:v>0.12517666821011045</c:v>
                </c:pt>
                <c:pt idx="73">
                  <c:v>0.10797857960265245</c:v>
                </c:pt>
                <c:pt idx="74">
                  <c:v>9.1640357918044202E-2</c:v>
                </c:pt>
                <c:pt idx="75">
                  <c:v>7.5707483976034121E-2</c:v>
                </c:pt>
                <c:pt idx="76">
                  <c:v>6.3352814448092917E-2</c:v>
                </c:pt>
                <c:pt idx="77">
                  <c:v>5.4058954598482985E-2</c:v>
                </c:pt>
                <c:pt idx="78">
                  <c:v>4.6159467488772483E-2</c:v>
                </c:pt>
                <c:pt idx="79">
                  <c:v>3.9261029609224105E-2</c:v>
                </c:pt>
                <c:pt idx="80">
                  <c:v>3.3682591328236214E-2</c:v>
                </c:pt>
                <c:pt idx="81">
                  <c:v>2.8922068795635903E-2</c:v>
                </c:pt>
                <c:pt idx="82">
                  <c:v>2.3422168774217406E-2</c:v>
                </c:pt>
                <c:pt idx="83">
                  <c:v>1.8325088823355783E-2</c:v>
                </c:pt>
                <c:pt idx="84">
                  <c:v>1.3700235755538222E-2</c:v>
                </c:pt>
                <c:pt idx="85">
                  <c:v>8.9798151388667084E-3</c:v>
                </c:pt>
                <c:pt idx="86">
                  <c:v>3.1433302178704124E-3</c:v>
                </c:pt>
                <c:pt idx="87">
                  <c:v>1.8323389484109596E-3</c:v>
                </c:pt>
                <c:pt idx="88">
                  <c:v>1.4341439861060435E-3</c:v>
                </c:pt>
                <c:pt idx="89">
                  <c:v>1.4389918040333116E-3</c:v>
                </c:pt>
                <c:pt idx="90">
                  <c:v>1.6952593664455355E-3</c:v>
                </c:pt>
              </c:numCache>
            </c:numRef>
          </c:yVal>
          <c:smooth val="0"/>
        </c:ser>
        <c:dLbls>
          <c:showLegendKey val="0"/>
          <c:showVal val="0"/>
          <c:showCatName val="0"/>
          <c:showSerName val="0"/>
          <c:showPercent val="0"/>
          <c:showBubbleSize val="0"/>
        </c:dLbls>
        <c:axId val="282602496"/>
        <c:axId val="282605824"/>
      </c:scatterChart>
      <c:valAx>
        <c:axId val="282602496"/>
        <c:scaling>
          <c:orientation val="minMax"/>
          <c:max val="9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age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2605824"/>
        <c:crosses val="autoZero"/>
        <c:crossBetween val="midCat"/>
        <c:majorUnit val="10"/>
        <c:minorUnit val="10"/>
      </c:valAx>
      <c:valAx>
        <c:axId val="2826058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2602496"/>
        <c:crosses val="autoZero"/>
        <c:crossBetween val="midCat"/>
      </c:valAx>
      <c:spPr>
        <a:noFill/>
        <a:ln>
          <a:noFill/>
        </a:ln>
        <a:effectLst/>
      </c:spPr>
    </c:plotArea>
    <c:legend>
      <c:legendPos val="r"/>
      <c:layout>
        <c:manualLayout>
          <c:xMode val="edge"/>
          <c:yMode val="edge"/>
          <c:x val="0.64127755905511807"/>
          <c:y val="0.14872630504520273"/>
          <c:w val="6.1185039370078742E-2"/>
          <c:h val="0.156251093613298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TGI/GDP</a:t>
            </a:r>
          </a:p>
        </c:rich>
      </c:tx>
      <c:overlay val="0"/>
      <c:spPr>
        <a:noFill/>
        <a:ln>
          <a:noFill/>
        </a:ln>
        <a:effectLst/>
      </c:spPr>
    </c:title>
    <c:autoTitleDeleted val="0"/>
    <c:plotArea>
      <c:layout/>
      <c:lineChart>
        <c:grouping val="standard"/>
        <c:varyColors val="0"/>
        <c:ser>
          <c:idx val="0"/>
          <c:order val="0"/>
          <c:tx>
            <c:v>capital_no const</c:v>
          </c:tx>
          <c:spPr>
            <a:ln w="28575" cap="rnd">
              <a:solidFill>
                <a:schemeClr val="accent1"/>
              </a:solidFill>
              <a:round/>
            </a:ln>
            <a:effectLst/>
          </c:spPr>
          <c:marker>
            <c:symbol val="none"/>
          </c:marker>
          <c:cat>
            <c:numRef>
              <c:f>Sheet2!$B$2:$B$12</c:f>
              <c:numCache>
                <c:formatCode>General</c:formatCode>
                <c:ptCount val="11"/>
                <c:pt idx="0">
                  <c:v>2011</c:v>
                </c:pt>
                <c:pt idx="1">
                  <c:v>2015</c:v>
                </c:pt>
                <c:pt idx="2">
                  <c:v>2020</c:v>
                </c:pt>
                <c:pt idx="3">
                  <c:v>2025</c:v>
                </c:pt>
                <c:pt idx="4">
                  <c:v>2030</c:v>
                </c:pt>
                <c:pt idx="5">
                  <c:v>2035</c:v>
                </c:pt>
                <c:pt idx="6">
                  <c:v>2040</c:v>
                </c:pt>
                <c:pt idx="7">
                  <c:v>2045</c:v>
                </c:pt>
                <c:pt idx="8">
                  <c:v>2050</c:v>
                </c:pt>
                <c:pt idx="9">
                  <c:v>2055</c:v>
                </c:pt>
                <c:pt idx="10">
                  <c:v>2060</c:v>
                </c:pt>
              </c:numCache>
            </c:numRef>
          </c:cat>
          <c:val>
            <c:numRef>
              <c:f>Sheet2!$AC$2:$AC$12</c:f>
              <c:numCache>
                <c:formatCode>General</c:formatCode>
                <c:ptCount val="11"/>
                <c:pt idx="0">
                  <c:v>0.16594999999999999</c:v>
                </c:pt>
                <c:pt idx="1">
                  <c:v>0.16405</c:v>
                </c:pt>
                <c:pt idx="2">
                  <c:v>0.16494</c:v>
                </c:pt>
                <c:pt idx="3">
                  <c:v>0.16950000000000001</c:v>
                </c:pt>
                <c:pt idx="4">
                  <c:v>0.17827000000000001</c:v>
                </c:pt>
                <c:pt idx="5">
                  <c:v>0.19072</c:v>
                </c:pt>
                <c:pt idx="6">
                  <c:v>0.20599999999999999</c:v>
                </c:pt>
                <c:pt idx="7">
                  <c:v>0.22259000000000001</c:v>
                </c:pt>
                <c:pt idx="8">
                  <c:v>0.23938999999999999</c:v>
                </c:pt>
                <c:pt idx="9">
                  <c:v>0.25624000000000002</c:v>
                </c:pt>
                <c:pt idx="10">
                  <c:v>0.27244000000000002</c:v>
                </c:pt>
              </c:numCache>
            </c:numRef>
          </c:val>
          <c:smooth val="0"/>
        </c:ser>
        <c:ser>
          <c:idx val="1"/>
          <c:order val="1"/>
          <c:tx>
            <c:v>social const</c:v>
          </c:tx>
          <c:spPr>
            <a:ln w="28575" cap="rnd">
              <a:solidFill>
                <a:schemeClr val="accent2"/>
              </a:solidFill>
              <a:round/>
            </a:ln>
            <a:effectLst/>
          </c:spPr>
          <c:marker>
            <c:symbol val="none"/>
          </c:marker>
          <c:cat>
            <c:numRef>
              <c:f>Sheet2!$B$2:$B$12</c:f>
              <c:numCache>
                <c:formatCode>General</c:formatCode>
                <c:ptCount val="11"/>
                <c:pt idx="0">
                  <c:v>2011</c:v>
                </c:pt>
                <c:pt idx="1">
                  <c:v>2015</c:v>
                </c:pt>
                <c:pt idx="2">
                  <c:v>2020</c:v>
                </c:pt>
                <c:pt idx="3">
                  <c:v>2025</c:v>
                </c:pt>
                <c:pt idx="4">
                  <c:v>2030</c:v>
                </c:pt>
                <c:pt idx="5">
                  <c:v>2035</c:v>
                </c:pt>
                <c:pt idx="6">
                  <c:v>2040</c:v>
                </c:pt>
                <c:pt idx="7">
                  <c:v>2045</c:v>
                </c:pt>
                <c:pt idx="8">
                  <c:v>2050</c:v>
                </c:pt>
                <c:pt idx="9">
                  <c:v>2055</c:v>
                </c:pt>
                <c:pt idx="10">
                  <c:v>2060</c:v>
                </c:pt>
              </c:numCache>
            </c:numRef>
          </c:cat>
          <c:val>
            <c:numRef>
              <c:f>Sheet2!$CT$2:$CT$12</c:f>
              <c:numCache>
                <c:formatCode>General</c:formatCode>
                <c:ptCount val="11"/>
                <c:pt idx="0">
                  <c:v>0.16594999999999999</c:v>
                </c:pt>
                <c:pt idx="1">
                  <c:v>0.16405</c:v>
                </c:pt>
                <c:pt idx="2">
                  <c:v>0.16730999999999999</c:v>
                </c:pt>
                <c:pt idx="3">
                  <c:v>0.18481</c:v>
                </c:pt>
                <c:pt idx="4">
                  <c:v>0.20877999999999999</c:v>
                </c:pt>
                <c:pt idx="5">
                  <c:v>0.23910999999999999</c:v>
                </c:pt>
                <c:pt idx="6">
                  <c:v>0.27494000000000002</c:v>
                </c:pt>
                <c:pt idx="7">
                  <c:v>0.31402999999999998</c:v>
                </c:pt>
                <c:pt idx="8">
                  <c:v>0.35</c:v>
                </c:pt>
                <c:pt idx="9">
                  <c:v>0.35</c:v>
                </c:pt>
                <c:pt idx="10">
                  <c:v>0.35</c:v>
                </c:pt>
              </c:numCache>
            </c:numRef>
          </c:val>
          <c:smooth val="0"/>
        </c:ser>
        <c:ser>
          <c:idx val="2"/>
          <c:order val="2"/>
          <c:tx>
            <c:v>social_no const</c:v>
          </c:tx>
          <c:spPr>
            <a:ln w="28575" cap="rnd">
              <a:solidFill>
                <a:schemeClr val="accent3"/>
              </a:solidFill>
              <a:round/>
            </a:ln>
            <a:effectLst/>
          </c:spPr>
          <c:marker>
            <c:symbol val="none"/>
          </c:marker>
          <c:cat>
            <c:numRef>
              <c:f>Sheet2!$B$2:$B$12</c:f>
              <c:numCache>
                <c:formatCode>General</c:formatCode>
                <c:ptCount val="11"/>
                <c:pt idx="0">
                  <c:v>2011</c:v>
                </c:pt>
                <c:pt idx="1">
                  <c:v>2015</c:v>
                </c:pt>
                <c:pt idx="2">
                  <c:v>2020</c:v>
                </c:pt>
                <c:pt idx="3">
                  <c:v>2025</c:v>
                </c:pt>
                <c:pt idx="4">
                  <c:v>2030</c:v>
                </c:pt>
                <c:pt idx="5">
                  <c:v>2035</c:v>
                </c:pt>
                <c:pt idx="6">
                  <c:v>2040</c:v>
                </c:pt>
                <c:pt idx="7">
                  <c:v>2045</c:v>
                </c:pt>
                <c:pt idx="8">
                  <c:v>2050</c:v>
                </c:pt>
                <c:pt idx="9">
                  <c:v>2055</c:v>
                </c:pt>
                <c:pt idx="10">
                  <c:v>2060</c:v>
                </c:pt>
              </c:numCache>
            </c:numRef>
          </c:cat>
          <c:val>
            <c:numRef>
              <c:f>Sheet2!$FK$2:$FK$12</c:f>
              <c:numCache>
                <c:formatCode>General</c:formatCode>
                <c:ptCount val="11"/>
                <c:pt idx="0">
                  <c:v>0.16594999999999999</c:v>
                </c:pt>
                <c:pt idx="1">
                  <c:v>0.16405</c:v>
                </c:pt>
                <c:pt idx="2">
                  <c:v>0.16730999999999999</c:v>
                </c:pt>
                <c:pt idx="3">
                  <c:v>0.18481</c:v>
                </c:pt>
                <c:pt idx="4">
                  <c:v>0.20877999999999999</c:v>
                </c:pt>
                <c:pt idx="5">
                  <c:v>0.23910999999999999</c:v>
                </c:pt>
                <c:pt idx="6">
                  <c:v>0.27494000000000002</c:v>
                </c:pt>
                <c:pt idx="7">
                  <c:v>0.31402999999999998</c:v>
                </c:pt>
                <c:pt idx="8">
                  <c:v>0.35487000000000002</c:v>
                </c:pt>
                <c:pt idx="9">
                  <c:v>0.39696999999999999</c:v>
                </c:pt>
                <c:pt idx="10">
                  <c:v>0.43868000000000001</c:v>
                </c:pt>
              </c:numCache>
            </c:numRef>
          </c:val>
          <c:smooth val="0"/>
        </c:ser>
        <c:ser>
          <c:idx val="3"/>
          <c:order val="3"/>
          <c:tx>
            <c:v>status quo</c:v>
          </c:tx>
          <c:spPr>
            <a:ln w="28575" cap="rnd">
              <a:solidFill>
                <a:schemeClr val="accent4"/>
              </a:solidFill>
              <a:round/>
            </a:ln>
            <a:effectLst/>
          </c:spPr>
          <c:marker>
            <c:symbol val="none"/>
          </c:marker>
          <c:cat>
            <c:numRef>
              <c:f>Sheet2!$B$2:$B$12</c:f>
              <c:numCache>
                <c:formatCode>General</c:formatCode>
                <c:ptCount val="11"/>
                <c:pt idx="0">
                  <c:v>2011</c:v>
                </c:pt>
                <c:pt idx="1">
                  <c:v>2015</c:v>
                </c:pt>
                <c:pt idx="2">
                  <c:v>2020</c:v>
                </c:pt>
                <c:pt idx="3">
                  <c:v>2025</c:v>
                </c:pt>
                <c:pt idx="4">
                  <c:v>2030</c:v>
                </c:pt>
                <c:pt idx="5">
                  <c:v>2035</c:v>
                </c:pt>
                <c:pt idx="6">
                  <c:v>2040</c:v>
                </c:pt>
                <c:pt idx="7">
                  <c:v>2045</c:v>
                </c:pt>
                <c:pt idx="8">
                  <c:v>2050</c:v>
                </c:pt>
                <c:pt idx="9">
                  <c:v>2055</c:v>
                </c:pt>
                <c:pt idx="10">
                  <c:v>2060</c:v>
                </c:pt>
              </c:numCache>
            </c:numRef>
          </c:cat>
          <c:val>
            <c:numRef>
              <c:f>Sheet2!$IB$2:$IB$12</c:f>
              <c:numCache>
                <c:formatCode>General</c:formatCode>
                <c:ptCount val="11"/>
                <c:pt idx="0">
                  <c:v>0.16594999999999999</c:v>
                </c:pt>
                <c:pt idx="1">
                  <c:v>0.16405</c:v>
                </c:pt>
                <c:pt idx="2">
                  <c:v>0.16495000000000001</c:v>
                </c:pt>
                <c:pt idx="3">
                  <c:v>0.16844000000000001</c:v>
                </c:pt>
                <c:pt idx="4">
                  <c:v>0.17410999999999999</c:v>
                </c:pt>
                <c:pt idx="5">
                  <c:v>0.18129000000000001</c:v>
                </c:pt>
                <c:pt idx="6">
                  <c:v>0.18926999999999999</c:v>
                </c:pt>
                <c:pt idx="7">
                  <c:v>0.19703000000000001</c:v>
                </c:pt>
                <c:pt idx="8">
                  <c:v>0.20416999999999999</c:v>
                </c:pt>
                <c:pt idx="9">
                  <c:v>0.21067</c:v>
                </c:pt>
                <c:pt idx="10">
                  <c:v>0.21596000000000001</c:v>
                </c:pt>
              </c:numCache>
            </c:numRef>
          </c:val>
          <c:smooth val="0"/>
        </c:ser>
        <c:dLbls>
          <c:showLegendKey val="0"/>
          <c:showVal val="0"/>
          <c:showCatName val="0"/>
          <c:showSerName val="0"/>
          <c:showPercent val="0"/>
          <c:showBubbleSize val="0"/>
        </c:dLbls>
        <c:marker val="1"/>
        <c:smooth val="0"/>
        <c:axId val="283304320"/>
        <c:axId val="283305856"/>
      </c:lineChart>
      <c:catAx>
        <c:axId val="28330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3305856"/>
        <c:crosses val="autoZero"/>
        <c:auto val="1"/>
        <c:lblAlgn val="ctr"/>
        <c:lblOffset val="100"/>
        <c:noMultiLvlLbl val="0"/>
      </c:catAx>
      <c:valAx>
        <c:axId val="283305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3304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Status</a:t>
            </a:r>
            <a:r>
              <a:rPr lang="en-US" sz="1000" baseline="0"/>
              <a:t> quo</a:t>
            </a:r>
            <a:endParaRPr lang="en-US" sz="1000"/>
          </a:p>
        </c:rich>
      </c:tx>
      <c:overlay val="0"/>
      <c:spPr>
        <a:noFill/>
        <a:ln>
          <a:noFill/>
        </a:ln>
        <a:effectLst/>
      </c:spPr>
    </c:title>
    <c:autoTitleDeleted val="0"/>
    <c:plotArea>
      <c:layout/>
      <c:lineChart>
        <c:grouping val="standard"/>
        <c:varyColors val="0"/>
        <c:ser>
          <c:idx val="0"/>
          <c:order val="0"/>
          <c:tx>
            <c:strRef>
              <c:f>Sheet1!$AH$1</c:f>
              <c:strCache>
                <c:ptCount val="1"/>
                <c:pt idx="0">
                  <c:v>TGI /GDP</c:v>
                </c:pt>
              </c:strCache>
            </c:strRef>
          </c:tx>
          <c:spPr>
            <a:ln w="28575" cap="rnd">
              <a:solidFill>
                <a:schemeClr val="accent1"/>
              </a:solidFill>
              <a:round/>
            </a:ln>
            <a:effectLst/>
          </c:spPr>
          <c:marker>
            <c:symbol val="none"/>
          </c:marker>
          <c:cat>
            <c:numRef>
              <c:f>Sheet1!$B$78:$B$88</c:f>
              <c:numCache>
                <c:formatCode>General</c:formatCode>
                <c:ptCount val="11"/>
                <c:pt idx="0">
                  <c:v>2011</c:v>
                </c:pt>
                <c:pt idx="1">
                  <c:v>2015</c:v>
                </c:pt>
                <c:pt idx="2">
                  <c:v>2020</c:v>
                </c:pt>
                <c:pt idx="3">
                  <c:v>2025</c:v>
                </c:pt>
                <c:pt idx="4">
                  <c:v>2030</c:v>
                </c:pt>
                <c:pt idx="5">
                  <c:v>2035</c:v>
                </c:pt>
                <c:pt idx="6">
                  <c:v>2040</c:v>
                </c:pt>
                <c:pt idx="7">
                  <c:v>2045</c:v>
                </c:pt>
                <c:pt idx="8">
                  <c:v>2050</c:v>
                </c:pt>
                <c:pt idx="9">
                  <c:v>2055</c:v>
                </c:pt>
                <c:pt idx="10">
                  <c:v>2060</c:v>
                </c:pt>
              </c:numCache>
            </c:numRef>
          </c:cat>
          <c:val>
            <c:numRef>
              <c:f>Sheet1!$AH$78:$AH$88</c:f>
              <c:numCache>
                <c:formatCode>General</c:formatCode>
                <c:ptCount val="11"/>
                <c:pt idx="0">
                  <c:v>0.16594999999999999</c:v>
                </c:pt>
                <c:pt idx="1">
                  <c:v>0.16405</c:v>
                </c:pt>
                <c:pt idx="2">
                  <c:v>0.16495000000000001</c:v>
                </c:pt>
                <c:pt idx="3">
                  <c:v>0.16844000000000001</c:v>
                </c:pt>
                <c:pt idx="4">
                  <c:v>0.17410999999999999</c:v>
                </c:pt>
                <c:pt idx="5">
                  <c:v>0.18129000000000001</c:v>
                </c:pt>
                <c:pt idx="6">
                  <c:v>0.18926999999999999</c:v>
                </c:pt>
                <c:pt idx="7">
                  <c:v>0.19703000000000001</c:v>
                </c:pt>
                <c:pt idx="8">
                  <c:v>0.20416999999999999</c:v>
                </c:pt>
                <c:pt idx="9">
                  <c:v>0.21067</c:v>
                </c:pt>
                <c:pt idx="10">
                  <c:v>0.21596000000000001</c:v>
                </c:pt>
              </c:numCache>
            </c:numRef>
          </c:val>
          <c:smooth val="0"/>
        </c:ser>
        <c:ser>
          <c:idx val="1"/>
          <c:order val="1"/>
          <c:tx>
            <c:strRef>
              <c:f>Sheet1!$AI$1</c:f>
              <c:strCache>
                <c:ptCount val="1"/>
                <c:pt idx="0">
                  <c:v>TAX /GDP</c:v>
                </c:pt>
              </c:strCache>
            </c:strRef>
          </c:tx>
          <c:spPr>
            <a:ln w="28575" cap="rnd">
              <a:solidFill>
                <a:schemeClr val="accent2"/>
              </a:solidFill>
              <a:round/>
            </a:ln>
            <a:effectLst/>
          </c:spPr>
          <c:marker>
            <c:symbol val="none"/>
          </c:marker>
          <c:cat>
            <c:numRef>
              <c:f>Sheet1!$B$78:$B$88</c:f>
              <c:numCache>
                <c:formatCode>General</c:formatCode>
                <c:ptCount val="11"/>
                <c:pt idx="0">
                  <c:v>2011</c:v>
                </c:pt>
                <c:pt idx="1">
                  <c:v>2015</c:v>
                </c:pt>
                <c:pt idx="2">
                  <c:v>2020</c:v>
                </c:pt>
                <c:pt idx="3">
                  <c:v>2025</c:v>
                </c:pt>
                <c:pt idx="4">
                  <c:v>2030</c:v>
                </c:pt>
                <c:pt idx="5">
                  <c:v>2035</c:v>
                </c:pt>
                <c:pt idx="6">
                  <c:v>2040</c:v>
                </c:pt>
                <c:pt idx="7">
                  <c:v>2045</c:v>
                </c:pt>
                <c:pt idx="8">
                  <c:v>2050</c:v>
                </c:pt>
                <c:pt idx="9">
                  <c:v>2055</c:v>
                </c:pt>
                <c:pt idx="10">
                  <c:v>2060</c:v>
                </c:pt>
              </c:numCache>
            </c:numRef>
          </c:cat>
          <c:val>
            <c:numRef>
              <c:f>Sheet1!$AI$78:$AI$88</c:f>
              <c:numCache>
                <c:formatCode>General</c:formatCode>
                <c:ptCount val="11"/>
                <c:pt idx="0">
                  <c:v>0.18665000000000001</c:v>
                </c:pt>
                <c:pt idx="1">
                  <c:v>0.18917</c:v>
                </c:pt>
                <c:pt idx="2">
                  <c:v>0.19358</c:v>
                </c:pt>
                <c:pt idx="3">
                  <c:v>0.19917000000000001</c:v>
                </c:pt>
                <c:pt idx="4">
                  <c:v>0.20558999999999999</c:v>
                </c:pt>
                <c:pt idx="5">
                  <c:v>0.21228</c:v>
                </c:pt>
                <c:pt idx="6">
                  <c:v>0.21865999999999999</c:v>
                </c:pt>
                <c:pt idx="7">
                  <c:v>0.22422</c:v>
                </c:pt>
                <c:pt idx="8">
                  <c:v>0.22894999999999999</c:v>
                </c:pt>
                <c:pt idx="9">
                  <c:v>0.23294999999999999</c:v>
                </c:pt>
                <c:pt idx="10">
                  <c:v>0.23602999999999999</c:v>
                </c:pt>
              </c:numCache>
            </c:numRef>
          </c:val>
          <c:smooth val="0"/>
        </c:ser>
        <c:ser>
          <c:idx val="2"/>
          <c:order val="2"/>
          <c:tx>
            <c:strRef>
              <c:f>Sheet1!$AJ$1</c:f>
              <c:strCache>
                <c:ptCount val="1"/>
                <c:pt idx="0">
                  <c:v>TGD/GDP</c:v>
                </c:pt>
              </c:strCache>
            </c:strRef>
          </c:tx>
          <c:spPr>
            <a:ln w="28575" cap="rnd">
              <a:solidFill>
                <a:schemeClr val="accent3"/>
              </a:solidFill>
              <a:round/>
            </a:ln>
            <a:effectLst/>
          </c:spPr>
          <c:marker>
            <c:symbol val="none"/>
          </c:marker>
          <c:cat>
            <c:numRef>
              <c:f>Sheet1!$B$78:$B$88</c:f>
              <c:numCache>
                <c:formatCode>General</c:formatCode>
                <c:ptCount val="11"/>
                <c:pt idx="0">
                  <c:v>2011</c:v>
                </c:pt>
                <c:pt idx="1">
                  <c:v>2015</c:v>
                </c:pt>
                <c:pt idx="2">
                  <c:v>2020</c:v>
                </c:pt>
                <c:pt idx="3">
                  <c:v>2025</c:v>
                </c:pt>
                <c:pt idx="4">
                  <c:v>2030</c:v>
                </c:pt>
                <c:pt idx="5">
                  <c:v>2035</c:v>
                </c:pt>
                <c:pt idx="6">
                  <c:v>2040</c:v>
                </c:pt>
                <c:pt idx="7">
                  <c:v>2045</c:v>
                </c:pt>
                <c:pt idx="8">
                  <c:v>2050</c:v>
                </c:pt>
                <c:pt idx="9">
                  <c:v>2055</c:v>
                </c:pt>
                <c:pt idx="10">
                  <c:v>2060</c:v>
                </c:pt>
              </c:numCache>
            </c:numRef>
          </c:cat>
          <c:val>
            <c:numRef>
              <c:f>Sheet1!$AJ$78:$AJ$88</c:f>
              <c:numCache>
                <c:formatCode>General</c:formatCode>
                <c:ptCount val="11"/>
                <c:pt idx="0">
                  <c:v>-2.0700000000000024E-2</c:v>
                </c:pt>
                <c:pt idx="1">
                  <c:v>-2.5120000000000003E-2</c:v>
                </c:pt>
                <c:pt idx="2">
                  <c:v>-2.8629999999999989E-2</c:v>
                </c:pt>
                <c:pt idx="3">
                  <c:v>-3.0730000000000007E-2</c:v>
                </c:pt>
                <c:pt idx="4">
                  <c:v>-3.1480000000000008E-2</c:v>
                </c:pt>
                <c:pt idx="5">
                  <c:v>-3.098999999999999E-2</c:v>
                </c:pt>
                <c:pt idx="6">
                  <c:v>-2.9389999999999999E-2</c:v>
                </c:pt>
                <c:pt idx="7">
                  <c:v>-2.7189999999999992E-2</c:v>
                </c:pt>
                <c:pt idx="8">
                  <c:v>-2.4779999999999996E-2</c:v>
                </c:pt>
                <c:pt idx="9">
                  <c:v>-2.2279999999999994E-2</c:v>
                </c:pt>
                <c:pt idx="10">
                  <c:v>-2.0069999999999977E-2</c:v>
                </c:pt>
              </c:numCache>
            </c:numRef>
          </c:val>
          <c:smooth val="0"/>
        </c:ser>
        <c:dLbls>
          <c:showLegendKey val="0"/>
          <c:showVal val="0"/>
          <c:showCatName val="0"/>
          <c:showSerName val="0"/>
          <c:showPercent val="0"/>
          <c:showBubbleSize val="0"/>
        </c:dLbls>
        <c:marker val="1"/>
        <c:smooth val="0"/>
        <c:axId val="283397504"/>
        <c:axId val="283407488"/>
      </c:lineChart>
      <c:catAx>
        <c:axId val="28339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3407488"/>
        <c:crosses val="autoZero"/>
        <c:auto val="1"/>
        <c:lblAlgn val="ctr"/>
        <c:lblOffset val="100"/>
        <c:noMultiLvlLbl val="0"/>
      </c:catAx>
      <c:valAx>
        <c:axId val="283407488"/>
        <c:scaling>
          <c:orientation val="minMax"/>
          <c:max val="0.5"/>
          <c:min val="-0.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3397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Capitalist</a:t>
            </a:r>
            <a:r>
              <a:rPr lang="en-US" sz="1000" baseline="0"/>
              <a:t> transformation</a:t>
            </a:r>
          </a:p>
          <a:p>
            <a:pPr>
              <a:defRPr sz="1000" b="0" i="0" u="none" strike="noStrike" kern="1200" spc="0" baseline="0">
                <a:solidFill>
                  <a:schemeClr val="tx1">
                    <a:lumMod val="65000"/>
                    <a:lumOff val="35000"/>
                  </a:schemeClr>
                </a:solidFill>
                <a:latin typeface="+mn-lt"/>
                <a:ea typeface="+mn-ea"/>
                <a:cs typeface="+mn-cs"/>
              </a:defRPr>
            </a:pPr>
            <a:r>
              <a:rPr lang="en-US" sz="1000" baseline="0"/>
              <a:t>No constraints</a:t>
            </a:r>
            <a:endParaRPr lang="en-US" sz="1000"/>
          </a:p>
        </c:rich>
      </c:tx>
      <c:overlay val="0"/>
      <c:spPr>
        <a:noFill/>
        <a:ln>
          <a:noFill/>
        </a:ln>
        <a:effectLst/>
      </c:spPr>
    </c:title>
    <c:autoTitleDeleted val="0"/>
    <c:plotArea>
      <c:layout>
        <c:manualLayout>
          <c:layoutTarget val="inner"/>
          <c:xMode val="edge"/>
          <c:yMode val="edge"/>
          <c:x val="0.11661581906222118"/>
          <c:y val="0.25319796954314716"/>
          <c:w val="0.83497934045373046"/>
          <c:h val="0.52570339875028305"/>
        </c:manualLayout>
      </c:layout>
      <c:lineChart>
        <c:grouping val="standard"/>
        <c:varyColors val="0"/>
        <c:ser>
          <c:idx val="0"/>
          <c:order val="0"/>
          <c:tx>
            <c:strRef>
              <c:f>Sheet1!$AH$1</c:f>
              <c:strCache>
                <c:ptCount val="1"/>
                <c:pt idx="0">
                  <c:v>TGI /GDP</c:v>
                </c:pt>
              </c:strCache>
            </c:strRef>
          </c:tx>
          <c:spPr>
            <a:ln w="28575" cap="rnd">
              <a:solidFill>
                <a:schemeClr val="accent1"/>
              </a:solidFill>
              <a:round/>
            </a:ln>
            <a:effectLst/>
          </c:spPr>
          <c:marker>
            <c:symbol val="none"/>
          </c:marker>
          <c:cat>
            <c:numRef>
              <c:f>Sheet1!$B$21:$B$31</c:f>
              <c:numCache>
                <c:formatCode>General</c:formatCode>
                <c:ptCount val="11"/>
                <c:pt idx="0">
                  <c:v>2011</c:v>
                </c:pt>
                <c:pt idx="1">
                  <c:v>2015</c:v>
                </c:pt>
                <c:pt idx="2">
                  <c:v>2020</c:v>
                </c:pt>
                <c:pt idx="3">
                  <c:v>2025</c:v>
                </c:pt>
                <c:pt idx="4">
                  <c:v>2030</c:v>
                </c:pt>
                <c:pt idx="5">
                  <c:v>2035</c:v>
                </c:pt>
                <c:pt idx="6">
                  <c:v>2040</c:v>
                </c:pt>
                <c:pt idx="7">
                  <c:v>2045</c:v>
                </c:pt>
                <c:pt idx="8">
                  <c:v>2050</c:v>
                </c:pt>
                <c:pt idx="9">
                  <c:v>2055</c:v>
                </c:pt>
                <c:pt idx="10">
                  <c:v>2060</c:v>
                </c:pt>
              </c:numCache>
            </c:numRef>
          </c:cat>
          <c:val>
            <c:numRef>
              <c:f>Sheet1!$AH$21:$AH$32</c:f>
              <c:numCache>
                <c:formatCode>General</c:formatCode>
                <c:ptCount val="11"/>
                <c:pt idx="0">
                  <c:v>0.16594999999999999</c:v>
                </c:pt>
                <c:pt idx="1">
                  <c:v>0.16405</c:v>
                </c:pt>
                <c:pt idx="2">
                  <c:v>0.16494</c:v>
                </c:pt>
                <c:pt idx="3">
                  <c:v>0.16950000000000001</c:v>
                </c:pt>
                <c:pt idx="4">
                  <c:v>0.17827000000000001</c:v>
                </c:pt>
                <c:pt idx="5">
                  <c:v>0.19072</c:v>
                </c:pt>
                <c:pt idx="6">
                  <c:v>0.20599999999999999</c:v>
                </c:pt>
                <c:pt idx="7">
                  <c:v>0.22259000000000001</c:v>
                </c:pt>
                <c:pt idx="8">
                  <c:v>0.23938999999999999</c:v>
                </c:pt>
                <c:pt idx="9">
                  <c:v>0.25624000000000002</c:v>
                </c:pt>
                <c:pt idx="10">
                  <c:v>0.27244000000000002</c:v>
                </c:pt>
              </c:numCache>
            </c:numRef>
          </c:val>
          <c:smooth val="0"/>
        </c:ser>
        <c:ser>
          <c:idx val="1"/>
          <c:order val="1"/>
          <c:tx>
            <c:strRef>
              <c:f>Sheet1!$AI$1</c:f>
              <c:strCache>
                <c:ptCount val="1"/>
                <c:pt idx="0">
                  <c:v>TAX /GDP</c:v>
                </c:pt>
              </c:strCache>
            </c:strRef>
          </c:tx>
          <c:spPr>
            <a:ln w="28575" cap="rnd">
              <a:solidFill>
                <a:schemeClr val="accent2"/>
              </a:solidFill>
              <a:round/>
            </a:ln>
            <a:effectLst/>
          </c:spPr>
          <c:marker>
            <c:symbol val="none"/>
          </c:marker>
          <c:cat>
            <c:numRef>
              <c:f>Sheet1!$B$21:$B$31</c:f>
              <c:numCache>
                <c:formatCode>General</c:formatCode>
                <c:ptCount val="11"/>
                <c:pt idx="0">
                  <c:v>2011</c:v>
                </c:pt>
                <c:pt idx="1">
                  <c:v>2015</c:v>
                </c:pt>
                <c:pt idx="2">
                  <c:v>2020</c:v>
                </c:pt>
                <c:pt idx="3">
                  <c:v>2025</c:v>
                </c:pt>
                <c:pt idx="4">
                  <c:v>2030</c:v>
                </c:pt>
                <c:pt idx="5">
                  <c:v>2035</c:v>
                </c:pt>
                <c:pt idx="6">
                  <c:v>2040</c:v>
                </c:pt>
                <c:pt idx="7">
                  <c:v>2045</c:v>
                </c:pt>
                <c:pt idx="8">
                  <c:v>2050</c:v>
                </c:pt>
                <c:pt idx="9">
                  <c:v>2055</c:v>
                </c:pt>
                <c:pt idx="10">
                  <c:v>2060</c:v>
                </c:pt>
              </c:numCache>
            </c:numRef>
          </c:cat>
          <c:val>
            <c:numRef>
              <c:f>Sheet1!$AI$21:$AI$32</c:f>
              <c:numCache>
                <c:formatCode>General</c:formatCode>
                <c:ptCount val="11"/>
                <c:pt idx="0">
                  <c:v>0.18665000000000001</c:v>
                </c:pt>
                <c:pt idx="1">
                  <c:v>0.18917</c:v>
                </c:pt>
                <c:pt idx="2">
                  <c:v>0.19403999999999999</c:v>
                </c:pt>
                <c:pt idx="3">
                  <c:v>0.2019</c:v>
                </c:pt>
                <c:pt idx="4">
                  <c:v>0.21054</c:v>
                </c:pt>
                <c:pt idx="5">
                  <c:v>0.21937999999999999</c:v>
                </c:pt>
                <c:pt idx="6">
                  <c:v>0.22788</c:v>
                </c:pt>
                <c:pt idx="7">
                  <c:v>0.23537</c:v>
                </c:pt>
                <c:pt idx="8">
                  <c:v>0.24193999999999999</c:v>
                </c:pt>
                <c:pt idx="9">
                  <c:v>0.24784</c:v>
                </c:pt>
                <c:pt idx="10">
                  <c:v>0.25269999999999998</c:v>
                </c:pt>
              </c:numCache>
            </c:numRef>
          </c:val>
          <c:smooth val="0"/>
        </c:ser>
        <c:ser>
          <c:idx val="2"/>
          <c:order val="2"/>
          <c:tx>
            <c:strRef>
              <c:f>Sheet1!$AJ$1</c:f>
              <c:strCache>
                <c:ptCount val="1"/>
                <c:pt idx="0">
                  <c:v>TGD/GDP</c:v>
                </c:pt>
              </c:strCache>
            </c:strRef>
          </c:tx>
          <c:spPr>
            <a:ln w="28575" cap="rnd">
              <a:solidFill>
                <a:schemeClr val="accent3"/>
              </a:solidFill>
              <a:round/>
            </a:ln>
            <a:effectLst/>
          </c:spPr>
          <c:marker>
            <c:symbol val="none"/>
          </c:marker>
          <c:cat>
            <c:numRef>
              <c:f>Sheet1!$B$21:$B$31</c:f>
              <c:numCache>
                <c:formatCode>General</c:formatCode>
                <c:ptCount val="11"/>
                <c:pt idx="0">
                  <c:v>2011</c:v>
                </c:pt>
                <c:pt idx="1">
                  <c:v>2015</c:v>
                </c:pt>
                <c:pt idx="2">
                  <c:v>2020</c:v>
                </c:pt>
                <c:pt idx="3">
                  <c:v>2025</c:v>
                </c:pt>
                <c:pt idx="4">
                  <c:v>2030</c:v>
                </c:pt>
                <c:pt idx="5">
                  <c:v>2035</c:v>
                </c:pt>
                <c:pt idx="6">
                  <c:v>2040</c:v>
                </c:pt>
                <c:pt idx="7">
                  <c:v>2045</c:v>
                </c:pt>
                <c:pt idx="8">
                  <c:v>2050</c:v>
                </c:pt>
                <c:pt idx="9">
                  <c:v>2055</c:v>
                </c:pt>
                <c:pt idx="10">
                  <c:v>2060</c:v>
                </c:pt>
              </c:numCache>
            </c:numRef>
          </c:cat>
          <c:val>
            <c:numRef>
              <c:f>Sheet1!$AJ$21:$AJ$32</c:f>
              <c:numCache>
                <c:formatCode>General</c:formatCode>
                <c:ptCount val="11"/>
                <c:pt idx="0">
                  <c:v>-2.0700000000000024E-2</c:v>
                </c:pt>
                <c:pt idx="1">
                  <c:v>-2.5120000000000003E-2</c:v>
                </c:pt>
                <c:pt idx="2">
                  <c:v>-2.9099999999999987E-2</c:v>
                </c:pt>
                <c:pt idx="3">
                  <c:v>-3.2399999999999984E-2</c:v>
                </c:pt>
                <c:pt idx="4">
                  <c:v>-3.2269999999999993E-2</c:v>
                </c:pt>
                <c:pt idx="5">
                  <c:v>-2.8659999999999991E-2</c:v>
                </c:pt>
                <c:pt idx="6">
                  <c:v>-2.1880000000000011E-2</c:v>
                </c:pt>
                <c:pt idx="7">
                  <c:v>-1.2779999999999986E-2</c:v>
                </c:pt>
                <c:pt idx="8">
                  <c:v>-2.5499999999999967E-3</c:v>
                </c:pt>
                <c:pt idx="9">
                  <c:v>8.4000000000000186E-3</c:v>
                </c:pt>
                <c:pt idx="10">
                  <c:v>1.9740000000000035E-2</c:v>
                </c:pt>
              </c:numCache>
            </c:numRef>
          </c:val>
          <c:smooth val="0"/>
        </c:ser>
        <c:dLbls>
          <c:showLegendKey val="0"/>
          <c:showVal val="0"/>
          <c:showCatName val="0"/>
          <c:showSerName val="0"/>
          <c:showPercent val="0"/>
          <c:showBubbleSize val="0"/>
        </c:dLbls>
        <c:marker val="1"/>
        <c:smooth val="0"/>
        <c:axId val="283499136"/>
        <c:axId val="283500928"/>
      </c:lineChart>
      <c:catAx>
        <c:axId val="28349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3500928"/>
        <c:crosses val="autoZero"/>
        <c:auto val="1"/>
        <c:lblAlgn val="ctr"/>
        <c:lblOffset val="100"/>
        <c:noMultiLvlLbl val="0"/>
      </c:catAx>
      <c:valAx>
        <c:axId val="283500928"/>
        <c:scaling>
          <c:orientation val="minMax"/>
          <c:max val="0.5"/>
          <c:min val="-0.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3499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B766F-A901-4848-8E65-F5EC72D4A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6787</Words>
  <Characters>38687</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SDIDO NESDB</dc:creator>
  <cp:lastModifiedBy>Andrew Mason</cp:lastModifiedBy>
  <cp:revision>2</cp:revision>
  <cp:lastPrinted>2015-12-07T13:07:00Z</cp:lastPrinted>
  <dcterms:created xsi:type="dcterms:W3CDTF">2015-12-08T03:04:00Z</dcterms:created>
  <dcterms:modified xsi:type="dcterms:W3CDTF">2015-12-08T03:04:00Z</dcterms:modified>
</cp:coreProperties>
</file>